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0D586" w14:textId="77777777" w:rsidR="006F4CDE" w:rsidRDefault="006F4CDE" w:rsidP="006F4CDE">
      <w:pPr>
        <w:jc w:val="center"/>
        <w:rPr>
          <w:i/>
          <w:sz w:val="16"/>
          <w:szCs w:val="16"/>
        </w:rPr>
      </w:pPr>
      <w:r>
        <w:rPr>
          <w:i/>
          <w:noProof/>
          <w:sz w:val="16"/>
          <w:szCs w:val="16"/>
        </w:rPr>
        <w:drawing>
          <wp:inline distT="0" distB="0" distL="0" distR="0" wp14:anchorId="5AD41625" wp14:editId="15626575">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351C373E" w14:textId="77777777" w:rsidR="006F4CDE" w:rsidRDefault="006F4CDE" w:rsidP="006F4CDE">
      <w:pPr>
        <w:rPr>
          <w:i/>
          <w:sz w:val="16"/>
          <w:szCs w:val="16"/>
        </w:rPr>
      </w:pPr>
    </w:p>
    <w:p w14:paraId="16801CE5" w14:textId="77777777" w:rsidR="006F4CDE" w:rsidRPr="00B13072" w:rsidRDefault="006F4CDE" w:rsidP="006F4CDE"/>
    <w:p w14:paraId="6F918DBA" w14:textId="77777777" w:rsidR="00E808A7" w:rsidRPr="00E808A7" w:rsidRDefault="00E808A7" w:rsidP="00E808A7">
      <w:pPr>
        <w:jc w:val="center"/>
        <w:rPr>
          <w:b/>
          <w:sz w:val="56"/>
          <w:szCs w:val="72"/>
        </w:rPr>
      </w:pPr>
      <w:r w:rsidRPr="00E808A7">
        <w:rPr>
          <w:b/>
          <w:sz w:val="56"/>
          <w:szCs w:val="72"/>
        </w:rPr>
        <w:t>APPEL D’OFFRES OUVERT</w:t>
      </w:r>
    </w:p>
    <w:p w14:paraId="17E42F81" w14:textId="3DF71B05" w:rsidR="006F4CDE" w:rsidRDefault="00E808A7" w:rsidP="00E808A7">
      <w:pPr>
        <w:jc w:val="center"/>
      </w:pPr>
      <w:r w:rsidRPr="00E808A7">
        <w:rPr>
          <w:b/>
          <w:sz w:val="56"/>
          <w:szCs w:val="72"/>
        </w:rPr>
        <w:t>PRODUITS D’HYGIÈNE ET D’ENTRETIEN</w:t>
      </w:r>
    </w:p>
    <w:p w14:paraId="27FF29BA" w14:textId="77777777" w:rsidR="006F4CDE" w:rsidRDefault="006F4CDE" w:rsidP="006F4CDE"/>
    <w:p w14:paraId="02F09173" w14:textId="77777777" w:rsidR="006F4CDE" w:rsidRDefault="006F4CDE" w:rsidP="006F4CDE"/>
    <w:p w14:paraId="6208AA30" w14:textId="77777777" w:rsidR="006F4CDE" w:rsidRPr="00B13072" w:rsidRDefault="006F4CDE" w:rsidP="006F4CDE"/>
    <w:p w14:paraId="0175E33D" w14:textId="48B85D66" w:rsidR="006F4CDE" w:rsidRDefault="00E808A7" w:rsidP="006F4CDE">
      <w:pPr>
        <w:spacing w:before="240"/>
        <w:jc w:val="center"/>
        <w:rPr>
          <w:b/>
          <w:caps/>
          <w:sz w:val="44"/>
          <w:szCs w:val="44"/>
        </w:rPr>
      </w:pPr>
      <w:bookmarkStart w:id="0" w:name="_Hlk177654233"/>
      <w:r>
        <w:rPr>
          <w:b/>
          <w:caps/>
          <w:sz w:val="44"/>
          <w:szCs w:val="44"/>
        </w:rPr>
        <w:t>février</w:t>
      </w:r>
      <w:r w:rsidR="006F4CDE" w:rsidRPr="00D8353B">
        <w:rPr>
          <w:b/>
          <w:caps/>
          <w:sz w:val="44"/>
          <w:szCs w:val="44"/>
        </w:rPr>
        <w:t xml:space="preserve"> 202</w:t>
      </w:r>
      <w:r w:rsidR="00074D72" w:rsidRPr="00D8353B">
        <w:rPr>
          <w:b/>
          <w:caps/>
          <w:sz w:val="44"/>
          <w:szCs w:val="44"/>
        </w:rPr>
        <w:t>6</w:t>
      </w:r>
    </w:p>
    <w:p w14:paraId="229B3F94" w14:textId="77777777" w:rsidR="006F4CDE" w:rsidRPr="004B6E4A" w:rsidRDefault="006F4CDE" w:rsidP="004D420F">
      <w:pPr>
        <w:pStyle w:val="TM1"/>
      </w:pPr>
    </w:p>
    <w:p w14:paraId="38E2CEE2" w14:textId="77777777" w:rsidR="006F4CDE" w:rsidRDefault="006F4CDE" w:rsidP="006F4CDE">
      <w:pPr>
        <w:spacing w:before="840"/>
        <w:jc w:val="center"/>
        <w:rPr>
          <w:b/>
          <w:sz w:val="56"/>
          <w:szCs w:val="56"/>
        </w:rPr>
      </w:pPr>
      <w:r w:rsidRPr="00B13072">
        <w:rPr>
          <w:b/>
          <w:sz w:val="56"/>
          <w:szCs w:val="56"/>
        </w:rPr>
        <w:t>D.C.E.</w:t>
      </w:r>
      <w:bookmarkEnd w:id="0"/>
    </w:p>
    <w:p w14:paraId="70278954" w14:textId="2157CA33" w:rsidR="000875F6" w:rsidRPr="000875F6" w:rsidRDefault="00E808A7" w:rsidP="000875F6">
      <w:pPr>
        <w:jc w:val="center"/>
        <w:rPr>
          <w:b/>
          <w:caps/>
          <w:sz w:val="44"/>
          <w:szCs w:val="44"/>
        </w:rPr>
      </w:pPr>
      <w:r>
        <w:rPr>
          <w:b/>
          <w:caps/>
          <w:sz w:val="44"/>
          <w:szCs w:val="44"/>
        </w:rPr>
        <w:t>cahier des clauses administratives particulières (CCAP)</w:t>
      </w:r>
    </w:p>
    <w:p w14:paraId="37CC6024" w14:textId="77777777" w:rsidR="006F4CDE" w:rsidRPr="00B13072" w:rsidRDefault="006F4CDE" w:rsidP="006F4CDE"/>
    <w:p w14:paraId="36910C09" w14:textId="77777777" w:rsidR="006F4CDE" w:rsidRDefault="006F4CDE" w:rsidP="006F4CDE"/>
    <w:p w14:paraId="75878FA1" w14:textId="77777777" w:rsidR="006F4CDE" w:rsidRDefault="006F4CDE" w:rsidP="006F4CDE"/>
    <w:p w14:paraId="6C9E15F0" w14:textId="77777777" w:rsidR="006F4CDE" w:rsidRDefault="006F4CDE" w:rsidP="006F4CDE"/>
    <w:p w14:paraId="07BC7B2C" w14:textId="77777777" w:rsidR="006F4CDE" w:rsidRPr="00B13072" w:rsidRDefault="006F4CDE" w:rsidP="006F4CDE"/>
    <w:p w14:paraId="64CDF883" w14:textId="3CC2A3BB" w:rsidR="006F4CDE" w:rsidRPr="000875F6" w:rsidRDefault="006F4CDE" w:rsidP="006F4CDE">
      <w:pPr>
        <w:jc w:val="center"/>
        <w:rPr>
          <w:iCs/>
          <w:sz w:val="20"/>
        </w:rPr>
      </w:pPr>
      <w:r w:rsidRPr="000875F6">
        <w:rPr>
          <w:iCs/>
          <w:sz w:val="20"/>
        </w:rPr>
        <w:t>SENAT</w:t>
      </w:r>
      <w:r w:rsidR="000875F6">
        <w:rPr>
          <w:iCs/>
          <w:sz w:val="20"/>
        </w:rPr>
        <w:t>-</w:t>
      </w:r>
      <w:r w:rsidRPr="000875F6">
        <w:rPr>
          <w:iCs/>
          <w:sz w:val="20"/>
        </w:rPr>
        <w:t>DLMG</w:t>
      </w:r>
      <w:r w:rsidR="000875F6">
        <w:rPr>
          <w:iCs/>
          <w:sz w:val="20"/>
        </w:rPr>
        <w:t>-</w:t>
      </w:r>
      <w:r w:rsidRPr="000875F6">
        <w:rPr>
          <w:iCs/>
          <w:sz w:val="20"/>
        </w:rPr>
        <w:t>202</w:t>
      </w:r>
      <w:r w:rsidR="000875F6" w:rsidRPr="000875F6">
        <w:rPr>
          <w:iCs/>
          <w:sz w:val="20"/>
        </w:rPr>
        <w:t>6-</w:t>
      </w:r>
      <w:r w:rsidR="00E808A7">
        <w:rPr>
          <w:iCs/>
          <w:sz w:val="20"/>
        </w:rPr>
        <w:t>02</w:t>
      </w:r>
    </w:p>
    <w:p w14:paraId="4CC395E7" w14:textId="77777777" w:rsidR="006F4CDE" w:rsidRDefault="006F4CDE" w:rsidP="006F4CDE">
      <w:pPr>
        <w:jc w:val="center"/>
        <w:rPr>
          <w:i/>
          <w:sz w:val="20"/>
        </w:rPr>
      </w:pPr>
    </w:p>
    <w:p w14:paraId="065A905E" w14:textId="77777777" w:rsidR="006F4CDE" w:rsidRDefault="006F4CDE" w:rsidP="006F4CDE">
      <w:pPr>
        <w:jc w:val="center"/>
        <w:rPr>
          <w:i/>
          <w:sz w:val="20"/>
        </w:rPr>
      </w:pPr>
    </w:p>
    <w:p w14:paraId="5B612AA2" w14:textId="77777777" w:rsidR="006F4CDE" w:rsidRPr="008A4AF9" w:rsidRDefault="006F4CDE" w:rsidP="006F4CDE">
      <w:pPr>
        <w:jc w:val="center"/>
        <w:rPr>
          <w:i/>
          <w:sz w:val="20"/>
        </w:rPr>
      </w:pPr>
    </w:p>
    <w:p w14:paraId="39AD6371" w14:textId="77777777" w:rsidR="006F4CDE" w:rsidRPr="00B13072" w:rsidRDefault="006F4CDE" w:rsidP="006F4CDE"/>
    <w:p w14:paraId="4BCCB0AE" w14:textId="74467A99" w:rsidR="006F4CDE" w:rsidRDefault="006F4CDE" w:rsidP="006F4CDE">
      <w:pPr>
        <w:tabs>
          <w:tab w:val="left" w:pos="0"/>
        </w:tabs>
        <w:jc w:val="center"/>
        <w:rPr>
          <w:sz w:val="32"/>
          <w:szCs w:val="32"/>
        </w:rPr>
      </w:pPr>
    </w:p>
    <w:p w14:paraId="027F81E5" w14:textId="77777777" w:rsidR="001F36BB" w:rsidRDefault="001F36BB">
      <w:pPr>
        <w:overflowPunct/>
        <w:autoSpaceDE/>
        <w:autoSpaceDN/>
        <w:adjustRightInd/>
        <w:spacing w:after="200" w:line="276" w:lineRule="auto"/>
        <w:jc w:val="left"/>
        <w:textAlignment w:val="auto"/>
      </w:pPr>
      <w:r>
        <w:br w:type="page"/>
      </w:r>
    </w:p>
    <w:sdt>
      <w:sdtPr>
        <w:rPr>
          <w:rFonts w:ascii="Times New Roman" w:eastAsia="Times New Roman" w:hAnsi="Times New Roman"/>
          <w:b w:val="0"/>
          <w:bCs w:val="0"/>
          <w:caps w:val="0"/>
          <w:sz w:val="22"/>
          <w:szCs w:val="20"/>
        </w:rPr>
        <w:id w:val="517973302"/>
        <w:docPartObj>
          <w:docPartGallery w:val="Table of Contents"/>
          <w:docPartUnique/>
        </w:docPartObj>
      </w:sdtPr>
      <w:sdtEndPr/>
      <w:sdtContent>
        <w:p w14:paraId="70A6EBEE" w14:textId="77777777" w:rsidR="00ED3425" w:rsidRDefault="00ED3425" w:rsidP="00ED3425">
          <w:pPr>
            <w:pStyle w:val="En-ttedetabledesmatires"/>
          </w:pPr>
          <w:r>
            <w:t>SOMMAIRE</w:t>
          </w:r>
        </w:p>
        <w:p w14:paraId="4EB5FD14" w14:textId="77777777" w:rsidR="004D420F" w:rsidRDefault="004D420F"/>
        <w:p w14:paraId="7CA3F6E1" w14:textId="1FCDB20B" w:rsidR="00E9314B" w:rsidRDefault="004D420F">
          <w:pPr>
            <w:pStyle w:val="TM1"/>
            <w:rPr>
              <w:rFonts w:asciiTheme="minorHAnsi" w:eastAsiaTheme="minorEastAsia" w:hAnsiTheme="minorHAnsi" w:cstheme="minorBidi"/>
              <w:smallCaps w:val="0"/>
              <w:noProof/>
              <w:color w:val="auto"/>
              <w:szCs w:val="22"/>
            </w:rPr>
          </w:pPr>
          <w:r>
            <w:fldChar w:fldCharType="begin"/>
          </w:r>
          <w:r>
            <w:instrText xml:space="preserve"> TOC \o "1-5" \h \z \u </w:instrText>
          </w:r>
          <w:r>
            <w:fldChar w:fldCharType="separate"/>
          </w:r>
          <w:hyperlink w:anchor="_Toc222388737" w:history="1">
            <w:r w:rsidR="00E9314B" w:rsidRPr="0036736D">
              <w:rPr>
                <w:rStyle w:val="Lienhypertexte"/>
                <w:rFonts w:eastAsiaTheme="majorEastAsia"/>
                <w:bCs/>
                <w:noProof/>
              </w:rPr>
              <w:t>ARTICLE 1.—</w:t>
            </w:r>
            <w:r w:rsidR="00E9314B" w:rsidRPr="0036736D">
              <w:rPr>
                <w:rStyle w:val="Lienhypertexte"/>
                <w:rFonts w:eastAsiaTheme="majorEastAsia"/>
                <w:noProof/>
              </w:rPr>
              <w:t xml:space="preserve"> Objet du marché</w:t>
            </w:r>
            <w:r w:rsidR="00E9314B">
              <w:rPr>
                <w:noProof/>
                <w:webHidden/>
              </w:rPr>
              <w:tab/>
            </w:r>
            <w:r w:rsidR="00E9314B">
              <w:rPr>
                <w:noProof/>
                <w:webHidden/>
              </w:rPr>
              <w:fldChar w:fldCharType="begin"/>
            </w:r>
            <w:r w:rsidR="00E9314B">
              <w:rPr>
                <w:noProof/>
                <w:webHidden/>
              </w:rPr>
              <w:instrText xml:space="preserve"> PAGEREF _Toc222388737 \h </w:instrText>
            </w:r>
            <w:r w:rsidR="00E9314B">
              <w:rPr>
                <w:noProof/>
                <w:webHidden/>
              </w:rPr>
            </w:r>
            <w:r w:rsidR="00E9314B">
              <w:rPr>
                <w:noProof/>
                <w:webHidden/>
              </w:rPr>
              <w:fldChar w:fldCharType="separate"/>
            </w:r>
            <w:r w:rsidR="00E9314B">
              <w:rPr>
                <w:noProof/>
                <w:webHidden/>
              </w:rPr>
              <w:t>4</w:t>
            </w:r>
            <w:r w:rsidR="00E9314B">
              <w:rPr>
                <w:noProof/>
                <w:webHidden/>
              </w:rPr>
              <w:fldChar w:fldCharType="end"/>
            </w:r>
          </w:hyperlink>
        </w:p>
        <w:p w14:paraId="394303E2" w14:textId="50D74E9C" w:rsidR="00E9314B" w:rsidRDefault="00C03034">
          <w:pPr>
            <w:pStyle w:val="TM1"/>
            <w:rPr>
              <w:rFonts w:asciiTheme="minorHAnsi" w:eastAsiaTheme="minorEastAsia" w:hAnsiTheme="minorHAnsi" w:cstheme="minorBidi"/>
              <w:smallCaps w:val="0"/>
              <w:noProof/>
              <w:color w:val="auto"/>
              <w:szCs w:val="22"/>
            </w:rPr>
          </w:pPr>
          <w:hyperlink w:anchor="_Toc222388738" w:history="1">
            <w:r w:rsidR="00E9314B" w:rsidRPr="0036736D">
              <w:rPr>
                <w:rStyle w:val="Lienhypertexte"/>
                <w:rFonts w:eastAsiaTheme="majorEastAsia"/>
                <w:bCs/>
                <w:noProof/>
              </w:rPr>
              <w:t>ARTICLE 2.—</w:t>
            </w:r>
            <w:r w:rsidR="00E9314B" w:rsidRPr="0036736D">
              <w:rPr>
                <w:rStyle w:val="Lienhypertexte"/>
                <w:rFonts w:eastAsiaTheme="majorEastAsia"/>
                <w:noProof/>
              </w:rPr>
              <w:t xml:space="preserve"> forme du marché</w:t>
            </w:r>
            <w:r w:rsidR="00E9314B">
              <w:rPr>
                <w:noProof/>
                <w:webHidden/>
              </w:rPr>
              <w:tab/>
            </w:r>
            <w:r w:rsidR="00E9314B">
              <w:rPr>
                <w:noProof/>
                <w:webHidden/>
              </w:rPr>
              <w:fldChar w:fldCharType="begin"/>
            </w:r>
            <w:r w:rsidR="00E9314B">
              <w:rPr>
                <w:noProof/>
                <w:webHidden/>
              </w:rPr>
              <w:instrText xml:space="preserve"> PAGEREF _Toc222388738 \h </w:instrText>
            </w:r>
            <w:r w:rsidR="00E9314B">
              <w:rPr>
                <w:noProof/>
                <w:webHidden/>
              </w:rPr>
            </w:r>
            <w:r w:rsidR="00E9314B">
              <w:rPr>
                <w:noProof/>
                <w:webHidden/>
              </w:rPr>
              <w:fldChar w:fldCharType="separate"/>
            </w:r>
            <w:r w:rsidR="00E9314B">
              <w:rPr>
                <w:noProof/>
                <w:webHidden/>
              </w:rPr>
              <w:t>4</w:t>
            </w:r>
            <w:r w:rsidR="00E9314B">
              <w:rPr>
                <w:noProof/>
                <w:webHidden/>
              </w:rPr>
              <w:fldChar w:fldCharType="end"/>
            </w:r>
          </w:hyperlink>
        </w:p>
        <w:p w14:paraId="5AF8CF8A" w14:textId="5F989E2E" w:rsidR="00E9314B" w:rsidRDefault="00C03034">
          <w:pPr>
            <w:pStyle w:val="TM2"/>
            <w:rPr>
              <w:rFonts w:asciiTheme="minorHAnsi" w:eastAsiaTheme="minorEastAsia" w:hAnsiTheme="minorHAnsi" w:cstheme="minorBidi"/>
              <w:color w:val="auto"/>
              <w:szCs w:val="22"/>
            </w:rPr>
          </w:pPr>
          <w:hyperlink w:anchor="_Toc222388739" w:history="1">
            <w:r w:rsidR="00E9314B" w:rsidRPr="0036736D">
              <w:rPr>
                <w:rStyle w:val="Lienhypertexte"/>
              </w:rPr>
              <w:t>2.1. Allotissement</w:t>
            </w:r>
            <w:r w:rsidR="00E9314B">
              <w:rPr>
                <w:webHidden/>
              </w:rPr>
              <w:tab/>
            </w:r>
            <w:r w:rsidR="00E9314B">
              <w:rPr>
                <w:webHidden/>
              </w:rPr>
              <w:fldChar w:fldCharType="begin"/>
            </w:r>
            <w:r w:rsidR="00E9314B">
              <w:rPr>
                <w:webHidden/>
              </w:rPr>
              <w:instrText xml:space="preserve"> PAGEREF _Toc222388739 \h </w:instrText>
            </w:r>
            <w:r w:rsidR="00E9314B">
              <w:rPr>
                <w:webHidden/>
              </w:rPr>
            </w:r>
            <w:r w:rsidR="00E9314B">
              <w:rPr>
                <w:webHidden/>
              </w:rPr>
              <w:fldChar w:fldCharType="separate"/>
            </w:r>
            <w:r w:rsidR="00E9314B">
              <w:rPr>
                <w:webHidden/>
              </w:rPr>
              <w:t>4</w:t>
            </w:r>
            <w:r w:rsidR="00E9314B">
              <w:rPr>
                <w:webHidden/>
              </w:rPr>
              <w:fldChar w:fldCharType="end"/>
            </w:r>
          </w:hyperlink>
        </w:p>
        <w:p w14:paraId="163EC431" w14:textId="1D211106" w:rsidR="00E9314B" w:rsidRDefault="00C03034">
          <w:pPr>
            <w:pStyle w:val="TM2"/>
            <w:rPr>
              <w:rFonts w:asciiTheme="minorHAnsi" w:eastAsiaTheme="minorEastAsia" w:hAnsiTheme="minorHAnsi" w:cstheme="minorBidi"/>
              <w:color w:val="auto"/>
              <w:szCs w:val="22"/>
            </w:rPr>
          </w:pPr>
          <w:hyperlink w:anchor="_Toc222388740" w:history="1">
            <w:r w:rsidR="00E9314B" w:rsidRPr="0036736D">
              <w:rPr>
                <w:rStyle w:val="Lienhypertexte"/>
              </w:rPr>
              <w:t>2.2. Fractionnement du marché</w:t>
            </w:r>
            <w:r w:rsidR="00E9314B">
              <w:rPr>
                <w:webHidden/>
              </w:rPr>
              <w:tab/>
            </w:r>
            <w:r w:rsidR="00E9314B">
              <w:rPr>
                <w:webHidden/>
              </w:rPr>
              <w:fldChar w:fldCharType="begin"/>
            </w:r>
            <w:r w:rsidR="00E9314B">
              <w:rPr>
                <w:webHidden/>
              </w:rPr>
              <w:instrText xml:space="preserve"> PAGEREF _Toc222388740 \h </w:instrText>
            </w:r>
            <w:r w:rsidR="00E9314B">
              <w:rPr>
                <w:webHidden/>
              </w:rPr>
            </w:r>
            <w:r w:rsidR="00E9314B">
              <w:rPr>
                <w:webHidden/>
              </w:rPr>
              <w:fldChar w:fldCharType="separate"/>
            </w:r>
            <w:r w:rsidR="00E9314B">
              <w:rPr>
                <w:webHidden/>
              </w:rPr>
              <w:t>4</w:t>
            </w:r>
            <w:r w:rsidR="00E9314B">
              <w:rPr>
                <w:webHidden/>
              </w:rPr>
              <w:fldChar w:fldCharType="end"/>
            </w:r>
          </w:hyperlink>
        </w:p>
        <w:p w14:paraId="00F9443A" w14:textId="1E243E3E" w:rsidR="00E9314B" w:rsidRDefault="00C03034">
          <w:pPr>
            <w:pStyle w:val="TM2"/>
            <w:rPr>
              <w:rFonts w:asciiTheme="minorHAnsi" w:eastAsiaTheme="minorEastAsia" w:hAnsiTheme="minorHAnsi" w:cstheme="minorBidi"/>
              <w:color w:val="auto"/>
              <w:szCs w:val="22"/>
            </w:rPr>
          </w:pPr>
          <w:hyperlink w:anchor="_Toc222388741" w:history="1">
            <w:r w:rsidR="00E9314B" w:rsidRPr="0036736D">
              <w:rPr>
                <w:rStyle w:val="Lienhypertexte"/>
              </w:rPr>
              <w:t>2.3. Montants maximas du marché</w:t>
            </w:r>
            <w:r w:rsidR="00E9314B">
              <w:rPr>
                <w:webHidden/>
              </w:rPr>
              <w:tab/>
            </w:r>
            <w:r w:rsidR="00E9314B">
              <w:rPr>
                <w:webHidden/>
              </w:rPr>
              <w:fldChar w:fldCharType="begin"/>
            </w:r>
            <w:r w:rsidR="00E9314B">
              <w:rPr>
                <w:webHidden/>
              </w:rPr>
              <w:instrText xml:space="preserve"> PAGEREF _Toc222388741 \h </w:instrText>
            </w:r>
            <w:r w:rsidR="00E9314B">
              <w:rPr>
                <w:webHidden/>
              </w:rPr>
            </w:r>
            <w:r w:rsidR="00E9314B">
              <w:rPr>
                <w:webHidden/>
              </w:rPr>
              <w:fldChar w:fldCharType="separate"/>
            </w:r>
            <w:r w:rsidR="00E9314B">
              <w:rPr>
                <w:webHidden/>
              </w:rPr>
              <w:t>4</w:t>
            </w:r>
            <w:r w:rsidR="00E9314B">
              <w:rPr>
                <w:webHidden/>
              </w:rPr>
              <w:fldChar w:fldCharType="end"/>
            </w:r>
          </w:hyperlink>
        </w:p>
        <w:p w14:paraId="75BB0FED" w14:textId="1C3C602D" w:rsidR="00E9314B" w:rsidRDefault="00C03034">
          <w:pPr>
            <w:pStyle w:val="TM1"/>
            <w:rPr>
              <w:rFonts w:asciiTheme="minorHAnsi" w:eastAsiaTheme="minorEastAsia" w:hAnsiTheme="minorHAnsi" w:cstheme="minorBidi"/>
              <w:smallCaps w:val="0"/>
              <w:noProof/>
              <w:color w:val="auto"/>
              <w:szCs w:val="22"/>
            </w:rPr>
          </w:pPr>
          <w:hyperlink w:anchor="_Toc222388742" w:history="1">
            <w:r w:rsidR="00E9314B" w:rsidRPr="0036736D">
              <w:rPr>
                <w:rStyle w:val="Lienhypertexte"/>
                <w:rFonts w:eastAsiaTheme="majorEastAsia"/>
                <w:bCs/>
                <w:noProof/>
              </w:rPr>
              <w:t>ARTICLE 3.—</w:t>
            </w:r>
            <w:r w:rsidR="00E9314B" w:rsidRPr="0036736D">
              <w:rPr>
                <w:rStyle w:val="Lienhypertexte"/>
                <w:rFonts w:eastAsiaTheme="majorEastAsia"/>
                <w:noProof/>
              </w:rPr>
              <w:t xml:space="preserve"> durée du marché</w:t>
            </w:r>
            <w:r w:rsidR="00E9314B">
              <w:rPr>
                <w:noProof/>
                <w:webHidden/>
              </w:rPr>
              <w:tab/>
            </w:r>
            <w:r w:rsidR="00E9314B">
              <w:rPr>
                <w:noProof/>
                <w:webHidden/>
              </w:rPr>
              <w:fldChar w:fldCharType="begin"/>
            </w:r>
            <w:r w:rsidR="00E9314B">
              <w:rPr>
                <w:noProof/>
                <w:webHidden/>
              </w:rPr>
              <w:instrText xml:space="preserve"> PAGEREF _Toc222388742 \h </w:instrText>
            </w:r>
            <w:r w:rsidR="00E9314B">
              <w:rPr>
                <w:noProof/>
                <w:webHidden/>
              </w:rPr>
            </w:r>
            <w:r w:rsidR="00E9314B">
              <w:rPr>
                <w:noProof/>
                <w:webHidden/>
              </w:rPr>
              <w:fldChar w:fldCharType="separate"/>
            </w:r>
            <w:r w:rsidR="00E9314B">
              <w:rPr>
                <w:noProof/>
                <w:webHidden/>
              </w:rPr>
              <w:t>4</w:t>
            </w:r>
            <w:r w:rsidR="00E9314B">
              <w:rPr>
                <w:noProof/>
                <w:webHidden/>
              </w:rPr>
              <w:fldChar w:fldCharType="end"/>
            </w:r>
          </w:hyperlink>
        </w:p>
        <w:p w14:paraId="245EF368" w14:textId="4115E44C" w:rsidR="00E9314B" w:rsidRDefault="00C03034">
          <w:pPr>
            <w:pStyle w:val="TM1"/>
            <w:rPr>
              <w:rFonts w:asciiTheme="minorHAnsi" w:eastAsiaTheme="minorEastAsia" w:hAnsiTheme="minorHAnsi" w:cstheme="minorBidi"/>
              <w:smallCaps w:val="0"/>
              <w:noProof/>
              <w:color w:val="auto"/>
              <w:szCs w:val="22"/>
            </w:rPr>
          </w:pPr>
          <w:hyperlink w:anchor="_Toc222388743" w:history="1">
            <w:r w:rsidR="00E9314B" w:rsidRPr="0036736D">
              <w:rPr>
                <w:rStyle w:val="Lienhypertexte"/>
                <w:rFonts w:eastAsiaTheme="majorEastAsia"/>
                <w:bCs/>
                <w:noProof/>
              </w:rPr>
              <w:t>ARTICLE 4.—</w:t>
            </w:r>
            <w:r w:rsidR="00E9314B" w:rsidRPr="0036736D">
              <w:rPr>
                <w:rStyle w:val="Lienhypertexte"/>
                <w:rFonts w:eastAsiaTheme="majorEastAsia"/>
                <w:noProof/>
              </w:rPr>
              <w:t xml:space="preserve"> pièces constitutives du marché</w:t>
            </w:r>
            <w:r w:rsidR="00E9314B">
              <w:rPr>
                <w:noProof/>
                <w:webHidden/>
              </w:rPr>
              <w:tab/>
            </w:r>
            <w:r w:rsidR="00E9314B">
              <w:rPr>
                <w:noProof/>
                <w:webHidden/>
              </w:rPr>
              <w:fldChar w:fldCharType="begin"/>
            </w:r>
            <w:r w:rsidR="00E9314B">
              <w:rPr>
                <w:noProof/>
                <w:webHidden/>
              </w:rPr>
              <w:instrText xml:space="preserve"> PAGEREF _Toc222388743 \h </w:instrText>
            </w:r>
            <w:r w:rsidR="00E9314B">
              <w:rPr>
                <w:noProof/>
                <w:webHidden/>
              </w:rPr>
            </w:r>
            <w:r w:rsidR="00E9314B">
              <w:rPr>
                <w:noProof/>
                <w:webHidden/>
              </w:rPr>
              <w:fldChar w:fldCharType="separate"/>
            </w:r>
            <w:r w:rsidR="00E9314B">
              <w:rPr>
                <w:noProof/>
                <w:webHidden/>
              </w:rPr>
              <w:t>5</w:t>
            </w:r>
            <w:r w:rsidR="00E9314B">
              <w:rPr>
                <w:noProof/>
                <w:webHidden/>
              </w:rPr>
              <w:fldChar w:fldCharType="end"/>
            </w:r>
          </w:hyperlink>
        </w:p>
        <w:p w14:paraId="69ACA8FB" w14:textId="29983FF9" w:rsidR="00E9314B" w:rsidRDefault="00C03034">
          <w:pPr>
            <w:pStyle w:val="TM1"/>
            <w:rPr>
              <w:rFonts w:asciiTheme="minorHAnsi" w:eastAsiaTheme="minorEastAsia" w:hAnsiTheme="minorHAnsi" w:cstheme="minorBidi"/>
              <w:smallCaps w:val="0"/>
              <w:noProof/>
              <w:color w:val="auto"/>
              <w:szCs w:val="22"/>
            </w:rPr>
          </w:pPr>
          <w:hyperlink w:anchor="_Toc222388744" w:history="1">
            <w:r w:rsidR="00E9314B" w:rsidRPr="0036736D">
              <w:rPr>
                <w:rStyle w:val="Lienhypertexte"/>
                <w:rFonts w:eastAsiaTheme="majorEastAsia"/>
                <w:bCs/>
                <w:noProof/>
              </w:rPr>
              <w:t>ARTICLE 5.—</w:t>
            </w:r>
            <w:r w:rsidR="00E9314B" w:rsidRPr="0036736D">
              <w:rPr>
                <w:rStyle w:val="Lienhypertexte"/>
                <w:rFonts w:eastAsiaTheme="majorEastAsia"/>
                <w:noProof/>
              </w:rPr>
              <w:t xml:space="preserve"> Interlocuteurs des deux parties</w:t>
            </w:r>
            <w:r w:rsidR="00E9314B">
              <w:rPr>
                <w:noProof/>
                <w:webHidden/>
              </w:rPr>
              <w:tab/>
            </w:r>
            <w:r w:rsidR="00E9314B">
              <w:rPr>
                <w:noProof/>
                <w:webHidden/>
              </w:rPr>
              <w:fldChar w:fldCharType="begin"/>
            </w:r>
            <w:r w:rsidR="00E9314B">
              <w:rPr>
                <w:noProof/>
                <w:webHidden/>
              </w:rPr>
              <w:instrText xml:space="preserve"> PAGEREF _Toc222388744 \h </w:instrText>
            </w:r>
            <w:r w:rsidR="00E9314B">
              <w:rPr>
                <w:noProof/>
                <w:webHidden/>
              </w:rPr>
            </w:r>
            <w:r w:rsidR="00E9314B">
              <w:rPr>
                <w:noProof/>
                <w:webHidden/>
              </w:rPr>
              <w:fldChar w:fldCharType="separate"/>
            </w:r>
            <w:r w:rsidR="00E9314B">
              <w:rPr>
                <w:noProof/>
                <w:webHidden/>
              </w:rPr>
              <w:t>5</w:t>
            </w:r>
            <w:r w:rsidR="00E9314B">
              <w:rPr>
                <w:noProof/>
                <w:webHidden/>
              </w:rPr>
              <w:fldChar w:fldCharType="end"/>
            </w:r>
          </w:hyperlink>
        </w:p>
        <w:p w14:paraId="1FDB9AF9" w14:textId="7E3CB50E" w:rsidR="00E9314B" w:rsidRDefault="00C03034">
          <w:pPr>
            <w:pStyle w:val="TM1"/>
            <w:rPr>
              <w:rFonts w:asciiTheme="minorHAnsi" w:eastAsiaTheme="minorEastAsia" w:hAnsiTheme="minorHAnsi" w:cstheme="minorBidi"/>
              <w:smallCaps w:val="0"/>
              <w:noProof/>
              <w:color w:val="auto"/>
              <w:szCs w:val="22"/>
            </w:rPr>
          </w:pPr>
          <w:hyperlink w:anchor="_Toc222388745" w:history="1">
            <w:r w:rsidR="00E9314B" w:rsidRPr="0036736D">
              <w:rPr>
                <w:rStyle w:val="Lienhypertexte"/>
                <w:rFonts w:eastAsiaTheme="majorEastAsia"/>
                <w:bCs/>
                <w:noProof/>
              </w:rPr>
              <w:t>ARTICLE 6.—</w:t>
            </w:r>
            <w:r w:rsidR="00E9314B" w:rsidRPr="0036736D">
              <w:rPr>
                <w:rStyle w:val="Lienhypertexte"/>
                <w:rFonts w:eastAsiaTheme="majorEastAsia"/>
                <w:noProof/>
              </w:rPr>
              <w:t xml:space="preserve"> prix du marché</w:t>
            </w:r>
            <w:r w:rsidR="00E9314B">
              <w:rPr>
                <w:noProof/>
                <w:webHidden/>
              </w:rPr>
              <w:tab/>
            </w:r>
            <w:r w:rsidR="00E9314B">
              <w:rPr>
                <w:noProof/>
                <w:webHidden/>
              </w:rPr>
              <w:fldChar w:fldCharType="begin"/>
            </w:r>
            <w:r w:rsidR="00E9314B">
              <w:rPr>
                <w:noProof/>
                <w:webHidden/>
              </w:rPr>
              <w:instrText xml:space="preserve"> PAGEREF _Toc222388745 \h </w:instrText>
            </w:r>
            <w:r w:rsidR="00E9314B">
              <w:rPr>
                <w:noProof/>
                <w:webHidden/>
              </w:rPr>
            </w:r>
            <w:r w:rsidR="00E9314B">
              <w:rPr>
                <w:noProof/>
                <w:webHidden/>
              </w:rPr>
              <w:fldChar w:fldCharType="separate"/>
            </w:r>
            <w:r w:rsidR="00E9314B">
              <w:rPr>
                <w:noProof/>
                <w:webHidden/>
              </w:rPr>
              <w:t>5</w:t>
            </w:r>
            <w:r w:rsidR="00E9314B">
              <w:rPr>
                <w:noProof/>
                <w:webHidden/>
              </w:rPr>
              <w:fldChar w:fldCharType="end"/>
            </w:r>
          </w:hyperlink>
        </w:p>
        <w:p w14:paraId="46D50A9D" w14:textId="7ED4BAEE" w:rsidR="00E9314B" w:rsidRDefault="00C03034">
          <w:pPr>
            <w:pStyle w:val="TM2"/>
            <w:rPr>
              <w:rFonts w:asciiTheme="minorHAnsi" w:eastAsiaTheme="minorEastAsia" w:hAnsiTheme="minorHAnsi" w:cstheme="minorBidi"/>
              <w:color w:val="auto"/>
              <w:szCs w:val="22"/>
            </w:rPr>
          </w:pPr>
          <w:hyperlink w:anchor="_Toc222388746" w:history="1">
            <w:r w:rsidR="00E9314B" w:rsidRPr="0036736D">
              <w:rPr>
                <w:rStyle w:val="Lienhypertexte"/>
              </w:rPr>
              <w:t>6.1. Forme du prix</w:t>
            </w:r>
            <w:r w:rsidR="00E9314B">
              <w:rPr>
                <w:webHidden/>
              </w:rPr>
              <w:tab/>
            </w:r>
            <w:r w:rsidR="00E9314B">
              <w:rPr>
                <w:webHidden/>
              </w:rPr>
              <w:fldChar w:fldCharType="begin"/>
            </w:r>
            <w:r w:rsidR="00E9314B">
              <w:rPr>
                <w:webHidden/>
              </w:rPr>
              <w:instrText xml:space="preserve"> PAGEREF _Toc222388746 \h </w:instrText>
            </w:r>
            <w:r w:rsidR="00E9314B">
              <w:rPr>
                <w:webHidden/>
              </w:rPr>
            </w:r>
            <w:r w:rsidR="00E9314B">
              <w:rPr>
                <w:webHidden/>
              </w:rPr>
              <w:fldChar w:fldCharType="separate"/>
            </w:r>
            <w:r w:rsidR="00E9314B">
              <w:rPr>
                <w:webHidden/>
              </w:rPr>
              <w:t>5</w:t>
            </w:r>
            <w:r w:rsidR="00E9314B">
              <w:rPr>
                <w:webHidden/>
              </w:rPr>
              <w:fldChar w:fldCharType="end"/>
            </w:r>
          </w:hyperlink>
        </w:p>
        <w:p w14:paraId="7604FFCD" w14:textId="4E0B649C" w:rsidR="00E9314B" w:rsidRDefault="00C03034">
          <w:pPr>
            <w:pStyle w:val="TM2"/>
            <w:rPr>
              <w:rFonts w:asciiTheme="minorHAnsi" w:eastAsiaTheme="minorEastAsia" w:hAnsiTheme="minorHAnsi" w:cstheme="minorBidi"/>
              <w:color w:val="auto"/>
              <w:szCs w:val="22"/>
            </w:rPr>
          </w:pPr>
          <w:hyperlink w:anchor="_Toc222388747" w:history="1">
            <w:r w:rsidR="00E9314B" w:rsidRPr="0036736D">
              <w:rPr>
                <w:rStyle w:val="Lienhypertexte"/>
              </w:rPr>
              <w:t>6.2. Modalités de révision du prix</w:t>
            </w:r>
            <w:r w:rsidR="00E9314B">
              <w:rPr>
                <w:webHidden/>
              </w:rPr>
              <w:tab/>
            </w:r>
            <w:r w:rsidR="00E9314B">
              <w:rPr>
                <w:webHidden/>
              </w:rPr>
              <w:fldChar w:fldCharType="begin"/>
            </w:r>
            <w:r w:rsidR="00E9314B">
              <w:rPr>
                <w:webHidden/>
              </w:rPr>
              <w:instrText xml:space="preserve"> PAGEREF _Toc222388747 \h </w:instrText>
            </w:r>
            <w:r w:rsidR="00E9314B">
              <w:rPr>
                <w:webHidden/>
              </w:rPr>
            </w:r>
            <w:r w:rsidR="00E9314B">
              <w:rPr>
                <w:webHidden/>
              </w:rPr>
              <w:fldChar w:fldCharType="separate"/>
            </w:r>
            <w:r w:rsidR="00E9314B">
              <w:rPr>
                <w:webHidden/>
              </w:rPr>
              <w:t>6</w:t>
            </w:r>
            <w:r w:rsidR="00E9314B">
              <w:rPr>
                <w:webHidden/>
              </w:rPr>
              <w:fldChar w:fldCharType="end"/>
            </w:r>
          </w:hyperlink>
        </w:p>
        <w:p w14:paraId="38D6425A" w14:textId="6D25BB1C" w:rsidR="00E9314B" w:rsidRDefault="00C03034">
          <w:pPr>
            <w:pStyle w:val="TM1"/>
            <w:rPr>
              <w:rFonts w:asciiTheme="minorHAnsi" w:eastAsiaTheme="minorEastAsia" w:hAnsiTheme="minorHAnsi" w:cstheme="minorBidi"/>
              <w:smallCaps w:val="0"/>
              <w:noProof/>
              <w:color w:val="auto"/>
              <w:szCs w:val="22"/>
            </w:rPr>
          </w:pPr>
          <w:hyperlink w:anchor="_Toc222388748" w:history="1">
            <w:r w:rsidR="00E9314B" w:rsidRPr="0036736D">
              <w:rPr>
                <w:rStyle w:val="Lienhypertexte"/>
                <w:rFonts w:eastAsiaTheme="majorEastAsia"/>
                <w:bCs/>
                <w:noProof/>
              </w:rPr>
              <w:t>ARTICLE 7.—</w:t>
            </w:r>
            <w:r w:rsidR="00E9314B" w:rsidRPr="0036736D">
              <w:rPr>
                <w:rStyle w:val="Lienhypertexte"/>
                <w:rFonts w:eastAsiaTheme="majorEastAsia"/>
                <w:noProof/>
              </w:rPr>
              <w:t xml:space="preserve"> modalités d’exécution du marché</w:t>
            </w:r>
            <w:r w:rsidR="00E9314B">
              <w:rPr>
                <w:noProof/>
                <w:webHidden/>
              </w:rPr>
              <w:tab/>
            </w:r>
            <w:r w:rsidR="00E9314B">
              <w:rPr>
                <w:noProof/>
                <w:webHidden/>
              </w:rPr>
              <w:fldChar w:fldCharType="begin"/>
            </w:r>
            <w:r w:rsidR="00E9314B">
              <w:rPr>
                <w:noProof/>
                <w:webHidden/>
              </w:rPr>
              <w:instrText xml:space="preserve"> PAGEREF _Toc222388748 \h </w:instrText>
            </w:r>
            <w:r w:rsidR="00E9314B">
              <w:rPr>
                <w:noProof/>
                <w:webHidden/>
              </w:rPr>
            </w:r>
            <w:r w:rsidR="00E9314B">
              <w:rPr>
                <w:noProof/>
                <w:webHidden/>
              </w:rPr>
              <w:fldChar w:fldCharType="separate"/>
            </w:r>
            <w:r w:rsidR="00E9314B">
              <w:rPr>
                <w:noProof/>
                <w:webHidden/>
              </w:rPr>
              <w:t>7</w:t>
            </w:r>
            <w:r w:rsidR="00E9314B">
              <w:rPr>
                <w:noProof/>
                <w:webHidden/>
              </w:rPr>
              <w:fldChar w:fldCharType="end"/>
            </w:r>
          </w:hyperlink>
        </w:p>
        <w:p w14:paraId="0EBC394F" w14:textId="176ACCC1" w:rsidR="00E9314B" w:rsidRDefault="00C03034">
          <w:pPr>
            <w:pStyle w:val="TM2"/>
            <w:rPr>
              <w:rFonts w:asciiTheme="minorHAnsi" w:eastAsiaTheme="minorEastAsia" w:hAnsiTheme="minorHAnsi" w:cstheme="minorBidi"/>
              <w:color w:val="auto"/>
              <w:szCs w:val="22"/>
            </w:rPr>
          </w:pPr>
          <w:hyperlink w:anchor="_Toc222388749" w:history="1">
            <w:r w:rsidR="00E9314B" w:rsidRPr="0036736D">
              <w:rPr>
                <w:rStyle w:val="Lienhypertexte"/>
              </w:rPr>
              <w:t>7.1. Bons de commande</w:t>
            </w:r>
            <w:r w:rsidR="00E9314B">
              <w:rPr>
                <w:webHidden/>
              </w:rPr>
              <w:tab/>
            </w:r>
            <w:r w:rsidR="00E9314B">
              <w:rPr>
                <w:webHidden/>
              </w:rPr>
              <w:fldChar w:fldCharType="begin"/>
            </w:r>
            <w:r w:rsidR="00E9314B">
              <w:rPr>
                <w:webHidden/>
              </w:rPr>
              <w:instrText xml:space="preserve"> PAGEREF _Toc222388749 \h </w:instrText>
            </w:r>
            <w:r w:rsidR="00E9314B">
              <w:rPr>
                <w:webHidden/>
              </w:rPr>
            </w:r>
            <w:r w:rsidR="00E9314B">
              <w:rPr>
                <w:webHidden/>
              </w:rPr>
              <w:fldChar w:fldCharType="separate"/>
            </w:r>
            <w:r w:rsidR="00E9314B">
              <w:rPr>
                <w:webHidden/>
              </w:rPr>
              <w:t>7</w:t>
            </w:r>
            <w:r w:rsidR="00E9314B">
              <w:rPr>
                <w:webHidden/>
              </w:rPr>
              <w:fldChar w:fldCharType="end"/>
            </w:r>
          </w:hyperlink>
        </w:p>
        <w:p w14:paraId="65EF5188" w14:textId="522B0245" w:rsidR="00E9314B" w:rsidRDefault="00C03034">
          <w:pPr>
            <w:pStyle w:val="TM2"/>
            <w:rPr>
              <w:rFonts w:asciiTheme="minorHAnsi" w:eastAsiaTheme="minorEastAsia" w:hAnsiTheme="minorHAnsi" w:cstheme="minorBidi"/>
              <w:color w:val="auto"/>
              <w:szCs w:val="22"/>
            </w:rPr>
          </w:pPr>
          <w:hyperlink w:anchor="_Toc222388750" w:history="1">
            <w:r w:rsidR="00E9314B" w:rsidRPr="0036736D">
              <w:rPr>
                <w:rStyle w:val="Lienhypertexte"/>
              </w:rPr>
              <w:t>7.2. Livraisons</w:t>
            </w:r>
            <w:r w:rsidR="00E9314B">
              <w:rPr>
                <w:webHidden/>
              </w:rPr>
              <w:tab/>
            </w:r>
            <w:r w:rsidR="00E9314B">
              <w:rPr>
                <w:webHidden/>
              </w:rPr>
              <w:fldChar w:fldCharType="begin"/>
            </w:r>
            <w:r w:rsidR="00E9314B">
              <w:rPr>
                <w:webHidden/>
              </w:rPr>
              <w:instrText xml:space="preserve"> PAGEREF _Toc222388750 \h </w:instrText>
            </w:r>
            <w:r w:rsidR="00E9314B">
              <w:rPr>
                <w:webHidden/>
              </w:rPr>
            </w:r>
            <w:r w:rsidR="00E9314B">
              <w:rPr>
                <w:webHidden/>
              </w:rPr>
              <w:fldChar w:fldCharType="separate"/>
            </w:r>
            <w:r w:rsidR="00E9314B">
              <w:rPr>
                <w:webHidden/>
              </w:rPr>
              <w:t>8</w:t>
            </w:r>
            <w:r w:rsidR="00E9314B">
              <w:rPr>
                <w:webHidden/>
              </w:rPr>
              <w:fldChar w:fldCharType="end"/>
            </w:r>
          </w:hyperlink>
        </w:p>
        <w:p w14:paraId="2917B356" w14:textId="7D4FED37" w:rsidR="00E9314B" w:rsidRDefault="00C03034">
          <w:pPr>
            <w:pStyle w:val="TM3"/>
            <w:tabs>
              <w:tab w:val="right" w:leader="dot" w:pos="8495"/>
            </w:tabs>
            <w:rPr>
              <w:rFonts w:asciiTheme="minorHAnsi" w:eastAsiaTheme="minorEastAsia" w:hAnsiTheme="minorHAnsi" w:cstheme="minorBidi"/>
              <w:noProof/>
              <w:color w:val="auto"/>
              <w:szCs w:val="22"/>
            </w:rPr>
          </w:pPr>
          <w:hyperlink w:anchor="_Toc222388751" w:history="1">
            <w:r w:rsidR="00E9314B" w:rsidRPr="0036736D">
              <w:rPr>
                <w:rStyle w:val="Lienhypertexte"/>
                <w:rFonts w:eastAsiaTheme="majorEastAsia"/>
                <w:noProof/>
              </w:rPr>
              <w:t>7.2.1. Modalités de livraison</w:t>
            </w:r>
            <w:r w:rsidR="00E9314B">
              <w:rPr>
                <w:noProof/>
                <w:webHidden/>
              </w:rPr>
              <w:tab/>
            </w:r>
            <w:r w:rsidR="00E9314B">
              <w:rPr>
                <w:noProof/>
                <w:webHidden/>
              </w:rPr>
              <w:fldChar w:fldCharType="begin"/>
            </w:r>
            <w:r w:rsidR="00E9314B">
              <w:rPr>
                <w:noProof/>
                <w:webHidden/>
              </w:rPr>
              <w:instrText xml:space="preserve"> PAGEREF _Toc222388751 \h </w:instrText>
            </w:r>
            <w:r w:rsidR="00E9314B">
              <w:rPr>
                <w:noProof/>
                <w:webHidden/>
              </w:rPr>
            </w:r>
            <w:r w:rsidR="00E9314B">
              <w:rPr>
                <w:noProof/>
                <w:webHidden/>
              </w:rPr>
              <w:fldChar w:fldCharType="separate"/>
            </w:r>
            <w:r w:rsidR="00E9314B">
              <w:rPr>
                <w:noProof/>
                <w:webHidden/>
              </w:rPr>
              <w:t>8</w:t>
            </w:r>
            <w:r w:rsidR="00E9314B">
              <w:rPr>
                <w:noProof/>
                <w:webHidden/>
              </w:rPr>
              <w:fldChar w:fldCharType="end"/>
            </w:r>
          </w:hyperlink>
        </w:p>
        <w:p w14:paraId="0D47B76C" w14:textId="50208958" w:rsidR="00E9314B" w:rsidRDefault="00C03034">
          <w:pPr>
            <w:pStyle w:val="TM3"/>
            <w:tabs>
              <w:tab w:val="right" w:leader="dot" w:pos="8495"/>
            </w:tabs>
            <w:rPr>
              <w:rFonts w:asciiTheme="minorHAnsi" w:eastAsiaTheme="minorEastAsia" w:hAnsiTheme="minorHAnsi" w:cstheme="minorBidi"/>
              <w:noProof/>
              <w:color w:val="auto"/>
              <w:szCs w:val="22"/>
            </w:rPr>
          </w:pPr>
          <w:hyperlink w:anchor="_Toc222388752" w:history="1">
            <w:r w:rsidR="00E9314B" w:rsidRPr="0036736D">
              <w:rPr>
                <w:rStyle w:val="Lienhypertexte"/>
                <w:rFonts w:eastAsiaTheme="majorEastAsia"/>
                <w:noProof/>
              </w:rPr>
              <w:t>7.2.2. Délais de livraison</w:t>
            </w:r>
            <w:r w:rsidR="00E9314B">
              <w:rPr>
                <w:noProof/>
                <w:webHidden/>
              </w:rPr>
              <w:tab/>
            </w:r>
            <w:r w:rsidR="00E9314B">
              <w:rPr>
                <w:noProof/>
                <w:webHidden/>
              </w:rPr>
              <w:fldChar w:fldCharType="begin"/>
            </w:r>
            <w:r w:rsidR="00E9314B">
              <w:rPr>
                <w:noProof/>
                <w:webHidden/>
              </w:rPr>
              <w:instrText xml:space="preserve"> PAGEREF _Toc222388752 \h </w:instrText>
            </w:r>
            <w:r w:rsidR="00E9314B">
              <w:rPr>
                <w:noProof/>
                <w:webHidden/>
              </w:rPr>
            </w:r>
            <w:r w:rsidR="00E9314B">
              <w:rPr>
                <w:noProof/>
                <w:webHidden/>
              </w:rPr>
              <w:fldChar w:fldCharType="separate"/>
            </w:r>
            <w:r w:rsidR="00E9314B">
              <w:rPr>
                <w:noProof/>
                <w:webHidden/>
              </w:rPr>
              <w:t>8</w:t>
            </w:r>
            <w:r w:rsidR="00E9314B">
              <w:rPr>
                <w:noProof/>
                <w:webHidden/>
              </w:rPr>
              <w:fldChar w:fldCharType="end"/>
            </w:r>
          </w:hyperlink>
        </w:p>
        <w:p w14:paraId="13546129" w14:textId="36A4C1BE" w:rsidR="00E9314B" w:rsidRDefault="00C03034">
          <w:pPr>
            <w:pStyle w:val="TM3"/>
            <w:tabs>
              <w:tab w:val="right" w:leader="dot" w:pos="8495"/>
            </w:tabs>
            <w:rPr>
              <w:rFonts w:asciiTheme="minorHAnsi" w:eastAsiaTheme="minorEastAsia" w:hAnsiTheme="minorHAnsi" w:cstheme="minorBidi"/>
              <w:noProof/>
              <w:color w:val="auto"/>
              <w:szCs w:val="22"/>
            </w:rPr>
          </w:pPr>
          <w:hyperlink w:anchor="_Toc222388753" w:history="1">
            <w:r w:rsidR="00E9314B" w:rsidRPr="0036736D">
              <w:rPr>
                <w:rStyle w:val="Lienhypertexte"/>
                <w:rFonts w:eastAsiaTheme="majorEastAsia"/>
                <w:noProof/>
              </w:rPr>
              <w:t>7.2.3. Bons de livraison</w:t>
            </w:r>
            <w:r w:rsidR="00E9314B">
              <w:rPr>
                <w:noProof/>
                <w:webHidden/>
              </w:rPr>
              <w:tab/>
            </w:r>
            <w:r w:rsidR="00E9314B">
              <w:rPr>
                <w:noProof/>
                <w:webHidden/>
              </w:rPr>
              <w:fldChar w:fldCharType="begin"/>
            </w:r>
            <w:r w:rsidR="00E9314B">
              <w:rPr>
                <w:noProof/>
                <w:webHidden/>
              </w:rPr>
              <w:instrText xml:space="preserve"> PAGEREF _Toc222388753 \h </w:instrText>
            </w:r>
            <w:r w:rsidR="00E9314B">
              <w:rPr>
                <w:noProof/>
                <w:webHidden/>
              </w:rPr>
            </w:r>
            <w:r w:rsidR="00E9314B">
              <w:rPr>
                <w:noProof/>
                <w:webHidden/>
              </w:rPr>
              <w:fldChar w:fldCharType="separate"/>
            </w:r>
            <w:r w:rsidR="00E9314B">
              <w:rPr>
                <w:noProof/>
                <w:webHidden/>
              </w:rPr>
              <w:t>8</w:t>
            </w:r>
            <w:r w:rsidR="00E9314B">
              <w:rPr>
                <w:noProof/>
                <w:webHidden/>
              </w:rPr>
              <w:fldChar w:fldCharType="end"/>
            </w:r>
          </w:hyperlink>
        </w:p>
        <w:p w14:paraId="27201AD8" w14:textId="67B2DEE1" w:rsidR="00E9314B" w:rsidRDefault="00C03034">
          <w:pPr>
            <w:pStyle w:val="TM3"/>
            <w:tabs>
              <w:tab w:val="right" w:leader="dot" w:pos="8495"/>
            </w:tabs>
            <w:rPr>
              <w:rFonts w:asciiTheme="minorHAnsi" w:eastAsiaTheme="minorEastAsia" w:hAnsiTheme="minorHAnsi" w:cstheme="minorBidi"/>
              <w:noProof/>
              <w:color w:val="auto"/>
              <w:szCs w:val="22"/>
            </w:rPr>
          </w:pPr>
          <w:hyperlink w:anchor="_Toc222388754" w:history="1">
            <w:r w:rsidR="00E9314B" w:rsidRPr="0036736D">
              <w:rPr>
                <w:rStyle w:val="Lienhypertexte"/>
                <w:rFonts w:eastAsiaTheme="majorEastAsia"/>
                <w:noProof/>
              </w:rPr>
              <w:t>7.2.4. Interdiction des livraisons partielles</w:t>
            </w:r>
            <w:r w:rsidR="00E9314B">
              <w:rPr>
                <w:noProof/>
                <w:webHidden/>
              </w:rPr>
              <w:tab/>
            </w:r>
            <w:r w:rsidR="00E9314B">
              <w:rPr>
                <w:noProof/>
                <w:webHidden/>
              </w:rPr>
              <w:fldChar w:fldCharType="begin"/>
            </w:r>
            <w:r w:rsidR="00E9314B">
              <w:rPr>
                <w:noProof/>
                <w:webHidden/>
              </w:rPr>
              <w:instrText xml:space="preserve"> PAGEREF _Toc222388754 \h </w:instrText>
            </w:r>
            <w:r w:rsidR="00E9314B">
              <w:rPr>
                <w:noProof/>
                <w:webHidden/>
              </w:rPr>
            </w:r>
            <w:r w:rsidR="00E9314B">
              <w:rPr>
                <w:noProof/>
                <w:webHidden/>
              </w:rPr>
              <w:fldChar w:fldCharType="separate"/>
            </w:r>
            <w:r w:rsidR="00E9314B">
              <w:rPr>
                <w:noProof/>
                <w:webHidden/>
              </w:rPr>
              <w:t>8</w:t>
            </w:r>
            <w:r w:rsidR="00E9314B">
              <w:rPr>
                <w:noProof/>
                <w:webHidden/>
              </w:rPr>
              <w:fldChar w:fldCharType="end"/>
            </w:r>
          </w:hyperlink>
        </w:p>
        <w:p w14:paraId="15B285BF" w14:textId="2E9C1C4B" w:rsidR="00E9314B" w:rsidRDefault="00C03034">
          <w:pPr>
            <w:pStyle w:val="TM2"/>
            <w:rPr>
              <w:rFonts w:asciiTheme="minorHAnsi" w:eastAsiaTheme="minorEastAsia" w:hAnsiTheme="minorHAnsi" w:cstheme="minorBidi"/>
              <w:color w:val="auto"/>
              <w:szCs w:val="22"/>
            </w:rPr>
          </w:pPr>
          <w:hyperlink w:anchor="_Toc222388755" w:history="1">
            <w:r w:rsidR="00E9314B" w:rsidRPr="0036736D">
              <w:rPr>
                <w:rStyle w:val="Lienhypertexte"/>
              </w:rPr>
              <w:t>7.3. Dérogations à l’exclusivité du marché</w:t>
            </w:r>
            <w:r w:rsidR="00E9314B">
              <w:rPr>
                <w:webHidden/>
              </w:rPr>
              <w:tab/>
            </w:r>
            <w:r w:rsidR="00E9314B">
              <w:rPr>
                <w:webHidden/>
              </w:rPr>
              <w:fldChar w:fldCharType="begin"/>
            </w:r>
            <w:r w:rsidR="00E9314B">
              <w:rPr>
                <w:webHidden/>
              </w:rPr>
              <w:instrText xml:space="preserve"> PAGEREF _Toc222388755 \h </w:instrText>
            </w:r>
            <w:r w:rsidR="00E9314B">
              <w:rPr>
                <w:webHidden/>
              </w:rPr>
            </w:r>
            <w:r w:rsidR="00E9314B">
              <w:rPr>
                <w:webHidden/>
              </w:rPr>
              <w:fldChar w:fldCharType="separate"/>
            </w:r>
            <w:r w:rsidR="00E9314B">
              <w:rPr>
                <w:webHidden/>
              </w:rPr>
              <w:t>8</w:t>
            </w:r>
            <w:r w:rsidR="00E9314B">
              <w:rPr>
                <w:webHidden/>
              </w:rPr>
              <w:fldChar w:fldCharType="end"/>
            </w:r>
          </w:hyperlink>
        </w:p>
        <w:p w14:paraId="7CC1A97B" w14:textId="399C7F7D" w:rsidR="00E9314B" w:rsidRDefault="00C03034">
          <w:pPr>
            <w:pStyle w:val="TM1"/>
            <w:rPr>
              <w:rFonts w:asciiTheme="minorHAnsi" w:eastAsiaTheme="minorEastAsia" w:hAnsiTheme="minorHAnsi" w:cstheme="minorBidi"/>
              <w:smallCaps w:val="0"/>
              <w:noProof/>
              <w:color w:val="auto"/>
              <w:szCs w:val="22"/>
            </w:rPr>
          </w:pPr>
          <w:hyperlink w:anchor="_Toc222388756" w:history="1">
            <w:r w:rsidR="00E9314B" w:rsidRPr="0036736D">
              <w:rPr>
                <w:rStyle w:val="Lienhypertexte"/>
                <w:rFonts w:eastAsiaTheme="majorEastAsia"/>
                <w:bCs/>
                <w:noProof/>
              </w:rPr>
              <w:t>ARTICLE 8.—</w:t>
            </w:r>
            <w:r w:rsidR="00E9314B" w:rsidRPr="0036736D">
              <w:rPr>
                <w:rStyle w:val="Lienhypertexte"/>
                <w:rFonts w:eastAsiaTheme="majorEastAsia"/>
                <w:noProof/>
              </w:rPr>
              <w:t xml:space="preserve"> admission</w:t>
            </w:r>
            <w:r w:rsidR="00E9314B">
              <w:rPr>
                <w:noProof/>
                <w:webHidden/>
              </w:rPr>
              <w:tab/>
            </w:r>
            <w:r w:rsidR="00E9314B">
              <w:rPr>
                <w:noProof/>
                <w:webHidden/>
              </w:rPr>
              <w:fldChar w:fldCharType="begin"/>
            </w:r>
            <w:r w:rsidR="00E9314B">
              <w:rPr>
                <w:noProof/>
                <w:webHidden/>
              </w:rPr>
              <w:instrText xml:space="preserve"> PAGEREF _Toc222388756 \h </w:instrText>
            </w:r>
            <w:r w:rsidR="00E9314B">
              <w:rPr>
                <w:noProof/>
                <w:webHidden/>
              </w:rPr>
            </w:r>
            <w:r w:rsidR="00E9314B">
              <w:rPr>
                <w:noProof/>
                <w:webHidden/>
              </w:rPr>
              <w:fldChar w:fldCharType="separate"/>
            </w:r>
            <w:r w:rsidR="00E9314B">
              <w:rPr>
                <w:noProof/>
                <w:webHidden/>
              </w:rPr>
              <w:t>9</w:t>
            </w:r>
            <w:r w:rsidR="00E9314B">
              <w:rPr>
                <w:noProof/>
                <w:webHidden/>
              </w:rPr>
              <w:fldChar w:fldCharType="end"/>
            </w:r>
          </w:hyperlink>
        </w:p>
        <w:p w14:paraId="2C8FBD42" w14:textId="742FB2CB" w:rsidR="00E9314B" w:rsidRDefault="00C03034">
          <w:pPr>
            <w:pStyle w:val="TM1"/>
            <w:rPr>
              <w:rFonts w:asciiTheme="minorHAnsi" w:eastAsiaTheme="minorEastAsia" w:hAnsiTheme="minorHAnsi" w:cstheme="minorBidi"/>
              <w:smallCaps w:val="0"/>
              <w:noProof/>
              <w:color w:val="auto"/>
              <w:szCs w:val="22"/>
            </w:rPr>
          </w:pPr>
          <w:hyperlink w:anchor="_Toc222388757" w:history="1">
            <w:r w:rsidR="00E9314B" w:rsidRPr="0036736D">
              <w:rPr>
                <w:rStyle w:val="Lienhypertexte"/>
                <w:rFonts w:eastAsiaTheme="majorEastAsia"/>
                <w:bCs/>
                <w:noProof/>
              </w:rPr>
              <w:t>ARTICLE 9.—</w:t>
            </w:r>
            <w:r w:rsidR="00E9314B" w:rsidRPr="0036736D">
              <w:rPr>
                <w:rStyle w:val="Lienhypertexte"/>
                <w:rFonts w:eastAsiaTheme="majorEastAsia"/>
                <w:noProof/>
              </w:rPr>
              <w:t xml:space="preserve"> modalités de règlement</w:t>
            </w:r>
            <w:r w:rsidR="00E9314B">
              <w:rPr>
                <w:noProof/>
                <w:webHidden/>
              </w:rPr>
              <w:tab/>
            </w:r>
            <w:r w:rsidR="00E9314B">
              <w:rPr>
                <w:noProof/>
                <w:webHidden/>
              </w:rPr>
              <w:fldChar w:fldCharType="begin"/>
            </w:r>
            <w:r w:rsidR="00E9314B">
              <w:rPr>
                <w:noProof/>
                <w:webHidden/>
              </w:rPr>
              <w:instrText xml:space="preserve"> PAGEREF _Toc222388757 \h </w:instrText>
            </w:r>
            <w:r w:rsidR="00E9314B">
              <w:rPr>
                <w:noProof/>
                <w:webHidden/>
              </w:rPr>
            </w:r>
            <w:r w:rsidR="00E9314B">
              <w:rPr>
                <w:noProof/>
                <w:webHidden/>
              </w:rPr>
              <w:fldChar w:fldCharType="separate"/>
            </w:r>
            <w:r w:rsidR="00E9314B">
              <w:rPr>
                <w:noProof/>
                <w:webHidden/>
              </w:rPr>
              <w:t>9</w:t>
            </w:r>
            <w:r w:rsidR="00E9314B">
              <w:rPr>
                <w:noProof/>
                <w:webHidden/>
              </w:rPr>
              <w:fldChar w:fldCharType="end"/>
            </w:r>
          </w:hyperlink>
        </w:p>
        <w:p w14:paraId="215C6445" w14:textId="162B14B2" w:rsidR="00E9314B" w:rsidRDefault="00C03034">
          <w:pPr>
            <w:pStyle w:val="TM1"/>
            <w:rPr>
              <w:rFonts w:asciiTheme="minorHAnsi" w:eastAsiaTheme="minorEastAsia" w:hAnsiTheme="minorHAnsi" w:cstheme="minorBidi"/>
              <w:smallCaps w:val="0"/>
              <w:noProof/>
              <w:color w:val="auto"/>
              <w:szCs w:val="22"/>
            </w:rPr>
          </w:pPr>
          <w:hyperlink w:anchor="_Toc222388758" w:history="1">
            <w:r w:rsidR="00E9314B" w:rsidRPr="0036736D">
              <w:rPr>
                <w:rStyle w:val="Lienhypertexte"/>
                <w:rFonts w:eastAsiaTheme="majorEastAsia"/>
                <w:bCs/>
                <w:noProof/>
              </w:rPr>
              <w:t>ARTICLE 10.—</w:t>
            </w:r>
            <w:r w:rsidR="00E9314B" w:rsidRPr="0036736D">
              <w:rPr>
                <w:rStyle w:val="Lienhypertexte"/>
                <w:rFonts w:eastAsiaTheme="majorEastAsia"/>
                <w:noProof/>
              </w:rPr>
              <w:t xml:space="preserve"> Facturation</w:t>
            </w:r>
            <w:r w:rsidR="00E9314B">
              <w:rPr>
                <w:noProof/>
                <w:webHidden/>
              </w:rPr>
              <w:tab/>
            </w:r>
            <w:r w:rsidR="00E9314B">
              <w:rPr>
                <w:noProof/>
                <w:webHidden/>
              </w:rPr>
              <w:fldChar w:fldCharType="begin"/>
            </w:r>
            <w:r w:rsidR="00E9314B">
              <w:rPr>
                <w:noProof/>
                <w:webHidden/>
              </w:rPr>
              <w:instrText xml:space="preserve"> PAGEREF _Toc222388758 \h </w:instrText>
            </w:r>
            <w:r w:rsidR="00E9314B">
              <w:rPr>
                <w:noProof/>
                <w:webHidden/>
              </w:rPr>
            </w:r>
            <w:r w:rsidR="00E9314B">
              <w:rPr>
                <w:noProof/>
                <w:webHidden/>
              </w:rPr>
              <w:fldChar w:fldCharType="separate"/>
            </w:r>
            <w:r w:rsidR="00E9314B">
              <w:rPr>
                <w:noProof/>
                <w:webHidden/>
              </w:rPr>
              <w:t>9</w:t>
            </w:r>
            <w:r w:rsidR="00E9314B">
              <w:rPr>
                <w:noProof/>
                <w:webHidden/>
              </w:rPr>
              <w:fldChar w:fldCharType="end"/>
            </w:r>
          </w:hyperlink>
        </w:p>
        <w:p w14:paraId="707F75FE" w14:textId="0C04F5BD" w:rsidR="00E9314B" w:rsidRDefault="00C03034">
          <w:pPr>
            <w:pStyle w:val="TM2"/>
            <w:rPr>
              <w:rFonts w:asciiTheme="minorHAnsi" w:eastAsiaTheme="minorEastAsia" w:hAnsiTheme="minorHAnsi" w:cstheme="minorBidi"/>
              <w:color w:val="auto"/>
              <w:szCs w:val="22"/>
            </w:rPr>
          </w:pPr>
          <w:hyperlink w:anchor="_Toc222388759" w:history="1">
            <w:r w:rsidR="00E9314B" w:rsidRPr="0036736D">
              <w:rPr>
                <w:rStyle w:val="Lienhypertexte"/>
              </w:rPr>
              <w:t>10.1. Facturation</w:t>
            </w:r>
            <w:r w:rsidR="00E9314B">
              <w:rPr>
                <w:webHidden/>
              </w:rPr>
              <w:tab/>
            </w:r>
            <w:r w:rsidR="00E9314B">
              <w:rPr>
                <w:webHidden/>
              </w:rPr>
              <w:fldChar w:fldCharType="begin"/>
            </w:r>
            <w:r w:rsidR="00E9314B">
              <w:rPr>
                <w:webHidden/>
              </w:rPr>
              <w:instrText xml:space="preserve"> PAGEREF _Toc222388759 \h </w:instrText>
            </w:r>
            <w:r w:rsidR="00E9314B">
              <w:rPr>
                <w:webHidden/>
              </w:rPr>
            </w:r>
            <w:r w:rsidR="00E9314B">
              <w:rPr>
                <w:webHidden/>
              </w:rPr>
              <w:fldChar w:fldCharType="separate"/>
            </w:r>
            <w:r w:rsidR="00E9314B">
              <w:rPr>
                <w:webHidden/>
              </w:rPr>
              <w:t>9</w:t>
            </w:r>
            <w:r w:rsidR="00E9314B">
              <w:rPr>
                <w:webHidden/>
              </w:rPr>
              <w:fldChar w:fldCharType="end"/>
            </w:r>
          </w:hyperlink>
        </w:p>
        <w:p w14:paraId="64DE83B0" w14:textId="19CFDF4C" w:rsidR="00E9314B" w:rsidRDefault="00C03034">
          <w:pPr>
            <w:pStyle w:val="TM2"/>
            <w:rPr>
              <w:rFonts w:asciiTheme="minorHAnsi" w:eastAsiaTheme="minorEastAsia" w:hAnsiTheme="minorHAnsi" w:cstheme="minorBidi"/>
              <w:color w:val="auto"/>
              <w:szCs w:val="22"/>
            </w:rPr>
          </w:pPr>
          <w:hyperlink w:anchor="_Toc222388760" w:history="1">
            <w:r w:rsidR="00E9314B" w:rsidRPr="0036736D">
              <w:rPr>
                <w:rStyle w:val="Lienhypertexte"/>
              </w:rPr>
              <w:t>10.2. Délais de paiement et intérêts moratoires</w:t>
            </w:r>
            <w:r w:rsidR="00E9314B">
              <w:rPr>
                <w:webHidden/>
              </w:rPr>
              <w:tab/>
            </w:r>
            <w:r w:rsidR="00E9314B">
              <w:rPr>
                <w:webHidden/>
              </w:rPr>
              <w:fldChar w:fldCharType="begin"/>
            </w:r>
            <w:r w:rsidR="00E9314B">
              <w:rPr>
                <w:webHidden/>
              </w:rPr>
              <w:instrText xml:space="preserve"> PAGEREF _Toc222388760 \h </w:instrText>
            </w:r>
            <w:r w:rsidR="00E9314B">
              <w:rPr>
                <w:webHidden/>
              </w:rPr>
            </w:r>
            <w:r w:rsidR="00E9314B">
              <w:rPr>
                <w:webHidden/>
              </w:rPr>
              <w:fldChar w:fldCharType="separate"/>
            </w:r>
            <w:r w:rsidR="00E9314B">
              <w:rPr>
                <w:webHidden/>
              </w:rPr>
              <w:t>10</w:t>
            </w:r>
            <w:r w:rsidR="00E9314B">
              <w:rPr>
                <w:webHidden/>
              </w:rPr>
              <w:fldChar w:fldCharType="end"/>
            </w:r>
          </w:hyperlink>
        </w:p>
        <w:p w14:paraId="476EDEDD" w14:textId="5ADC7E1E" w:rsidR="00E9314B" w:rsidRDefault="00C03034">
          <w:pPr>
            <w:pStyle w:val="TM1"/>
            <w:rPr>
              <w:rFonts w:asciiTheme="minorHAnsi" w:eastAsiaTheme="minorEastAsia" w:hAnsiTheme="minorHAnsi" w:cstheme="minorBidi"/>
              <w:smallCaps w:val="0"/>
              <w:noProof/>
              <w:color w:val="auto"/>
              <w:szCs w:val="22"/>
            </w:rPr>
          </w:pPr>
          <w:hyperlink w:anchor="_Toc222388761" w:history="1">
            <w:r w:rsidR="00E9314B" w:rsidRPr="0036736D">
              <w:rPr>
                <w:rStyle w:val="Lienhypertexte"/>
                <w:rFonts w:eastAsiaTheme="majorEastAsia"/>
                <w:bCs/>
                <w:noProof/>
              </w:rPr>
              <w:t>ARTICLE 11.—</w:t>
            </w:r>
            <w:r w:rsidR="00E9314B" w:rsidRPr="0036736D">
              <w:rPr>
                <w:rStyle w:val="Lienhypertexte"/>
                <w:rFonts w:eastAsiaTheme="majorEastAsia"/>
                <w:noProof/>
              </w:rPr>
              <w:t xml:space="preserve"> retards et pénalités</w:t>
            </w:r>
            <w:r w:rsidR="00E9314B">
              <w:rPr>
                <w:noProof/>
                <w:webHidden/>
              </w:rPr>
              <w:tab/>
            </w:r>
            <w:r w:rsidR="00E9314B">
              <w:rPr>
                <w:noProof/>
                <w:webHidden/>
              </w:rPr>
              <w:fldChar w:fldCharType="begin"/>
            </w:r>
            <w:r w:rsidR="00E9314B">
              <w:rPr>
                <w:noProof/>
                <w:webHidden/>
              </w:rPr>
              <w:instrText xml:space="preserve"> PAGEREF _Toc222388761 \h </w:instrText>
            </w:r>
            <w:r w:rsidR="00E9314B">
              <w:rPr>
                <w:noProof/>
                <w:webHidden/>
              </w:rPr>
            </w:r>
            <w:r w:rsidR="00E9314B">
              <w:rPr>
                <w:noProof/>
                <w:webHidden/>
              </w:rPr>
              <w:fldChar w:fldCharType="separate"/>
            </w:r>
            <w:r w:rsidR="00E9314B">
              <w:rPr>
                <w:noProof/>
                <w:webHidden/>
              </w:rPr>
              <w:t>10</w:t>
            </w:r>
            <w:r w:rsidR="00E9314B">
              <w:rPr>
                <w:noProof/>
                <w:webHidden/>
              </w:rPr>
              <w:fldChar w:fldCharType="end"/>
            </w:r>
          </w:hyperlink>
        </w:p>
        <w:p w14:paraId="03689BA8" w14:textId="59E3B30E" w:rsidR="00E9314B" w:rsidRDefault="00C03034">
          <w:pPr>
            <w:pStyle w:val="TM2"/>
            <w:rPr>
              <w:rFonts w:asciiTheme="minorHAnsi" w:eastAsiaTheme="minorEastAsia" w:hAnsiTheme="minorHAnsi" w:cstheme="minorBidi"/>
              <w:color w:val="auto"/>
              <w:szCs w:val="22"/>
            </w:rPr>
          </w:pPr>
          <w:hyperlink w:anchor="_Toc222388762" w:history="1">
            <w:r w:rsidR="00E9314B" w:rsidRPr="0036736D">
              <w:rPr>
                <w:rStyle w:val="Lienhypertexte"/>
              </w:rPr>
              <w:t>11.1. Pénalités</w:t>
            </w:r>
            <w:r w:rsidR="00E9314B">
              <w:rPr>
                <w:webHidden/>
              </w:rPr>
              <w:tab/>
            </w:r>
            <w:r w:rsidR="00E9314B">
              <w:rPr>
                <w:webHidden/>
              </w:rPr>
              <w:fldChar w:fldCharType="begin"/>
            </w:r>
            <w:r w:rsidR="00E9314B">
              <w:rPr>
                <w:webHidden/>
              </w:rPr>
              <w:instrText xml:space="preserve"> PAGEREF _Toc222388762 \h </w:instrText>
            </w:r>
            <w:r w:rsidR="00E9314B">
              <w:rPr>
                <w:webHidden/>
              </w:rPr>
            </w:r>
            <w:r w:rsidR="00E9314B">
              <w:rPr>
                <w:webHidden/>
              </w:rPr>
              <w:fldChar w:fldCharType="separate"/>
            </w:r>
            <w:r w:rsidR="00E9314B">
              <w:rPr>
                <w:webHidden/>
              </w:rPr>
              <w:t>10</w:t>
            </w:r>
            <w:r w:rsidR="00E9314B">
              <w:rPr>
                <w:webHidden/>
              </w:rPr>
              <w:fldChar w:fldCharType="end"/>
            </w:r>
          </w:hyperlink>
        </w:p>
        <w:p w14:paraId="5F282790" w14:textId="0FA15832" w:rsidR="00E9314B" w:rsidRDefault="00C03034">
          <w:pPr>
            <w:pStyle w:val="TM2"/>
            <w:rPr>
              <w:rFonts w:asciiTheme="minorHAnsi" w:eastAsiaTheme="minorEastAsia" w:hAnsiTheme="minorHAnsi" w:cstheme="minorBidi"/>
              <w:color w:val="auto"/>
              <w:szCs w:val="22"/>
            </w:rPr>
          </w:pPr>
          <w:hyperlink w:anchor="_Toc222388763" w:history="1">
            <w:r w:rsidR="00E9314B" w:rsidRPr="0036736D">
              <w:rPr>
                <w:rStyle w:val="Lienhypertexte"/>
              </w:rPr>
              <w:t>11.2. Pénalités pour non-respect des exigences environnementales</w:t>
            </w:r>
            <w:r w:rsidR="00E9314B">
              <w:rPr>
                <w:webHidden/>
              </w:rPr>
              <w:tab/>
            </w:r>
            <w:r w:rsidR="00E9314B">
              <w:rPr>
                <w:webHidden/>
              </w:rPr>
              <w:fldChar w:fldCharType="begin"/>
            </w:r>
            <w:r w:rsidR="00E9314B">
              <w:rPr>
                <w:webHidden/>
              </w:rPr>
              <w:instrText xml:space="preserve"> PAGEREF _Toc222388763 \h </w:instrText>
            </w:r>
            <w:r w:rsidR="00E9314B">
              <w:rPr>
                <w:webHidden/>
              </w:rPr>
            </w:r>
            <w:r w:rsidR="00E9314B">
              <w:rPr>
                <w:webHidden/>
              </w:rPr>
              <w:fldChar w:fldCharType="separate"/>
            </w:r>
            <w:r w:rsidR="00E9314B">
              <w:rPr>
                <w:webHidden/>
              </w:rPr>
              <w:t>11</w:t>
            </w:r>
            <w:r w:rsidR="00E9314B">
              <w:rPr>
                <w:webHidden/>
              </w:rPr>
              <w:fldChar w:fldCharType="end"/>
            </w:r>
          </w:hyperlink>
        </w:p>
        <w:p w14:paraId="2282AD9C" w14:textId="58068EF1" w:rsidR="00E9314B" w:rsidRDefault="00C03034">
          <w:pPr>
            <w:pStyle w:val="TM1"/>
            <w:rPr>
              <w:rFonts w:asciiTheme="minorHAnsi" w:eastAsiaTheme="minorEastAsia" w:hAnsiTheme="minorHAnsi" w:cstheme="minorBidi"/>
              <w:smallCaps w:val="0"/>
              <w:noProof/>
              <w:color w:val="auto"/>
              <w:szCs w:val="22"/>
            </w:rPr>
          </w:pPr>
          <w:hyperlink w:anchor="_Toc222388764" w:history="1">
            <w:r w:rsidR="00E9314B" w:rsidRPr="0036736D">
              <w:rPr>
                <w:rStyle w:val="Lienhypertexte"/>
                <w:rFonts w:eastAsiaTheme="majorEastAsia"/>
                <w:bCs/>
                <w:noProof/>
              </w:rPr>
              <w:t>ARTICLE 12.—</w:t>
            </w:r>
            <w:r w:rsidR="00E9314B" w:rsidRPr="0036736D">
              <w:rPr>
                <w:rStyle w:val="Lienhypertexte"/>
                <w:rFonts w:eastAsiaTheme="majorEastAsia"/>
                <w:noProof/>
              </w:rPr>
              <w:t xml:space="preserve"> résiliation du marché</w:t>
            </w:r>
            <w:r w:rsidR="00E9314B">
              <w:rPr>
                <w:noProof/>
                <w:webHidden/>
              </w:rPr>
              <w:tab/>
            </w:r>
            <w:r w:rsidR="00E9314B">
              <w:rPr>
                <w:noProof/>
                <w:webHidden/>
              </w:rPr>
              <w:fldChar w:fldCharType="begin"/>
            </w:r>
            <w:r w:rsidR="00E9314B">
              <w:rPr>
                <w:noProof/>
                <w:webHidden/>
              </w:rPr>
              <w:instrText xml:space="preserve"> PAGEREF _Toc222388764 \h </w:instrText>
            </w:r>
            <w:r w:rsidR="00E9314B">
              <w:rPr>
                <w:noProof/>
                <w:webHidden/>
              </w:rPr>
            </w:r>
            <w:r w:rsidR="00E9314B">
              <w:rPr>
                <w:noProof/>
                <w:webHidden/>
              </w:rPr>
              <w:fldChar w:fldCharType="separate"/>
            </w:r>
            <w:r w:rsidR="00E9314B">
              <w:rPr>
                <w:noProof/>
                <w:webHidden/>
              </w:rPr>
              <w:t>11</w:t>
            </w:r>
            <w:r w:rsidR="00E9314B">
              <w:rPr>
                <w:noProof/>
                <w:webHidden/>
              </w:rPr>
              <w:fldChar w:fldCharType="end"/>
            </w:r>
          </w:hyperlink>
        </w:p>
        <w:p w14:paraId="0A4AFB8A" w14:textId="50C34BBD" w:rsidR="00E9314B" w:rsidRDefault="00C03034">
          <w:pPr>
            <w:pStyle w:val="TM1"/>
            <w:rPr>
              <w:rFonts w:asciiTheme="minorHAnsi" w:eastAsiaTheme="minorEastAsia" w:hAnsiTheme="minorHAnsi" w:cstheme="minorBidi"/>
              <w:smallCaps w:val="0"/>
              <w:noProof/>
              <w:color w:val="auto"/>
              <w:szCs w:val="22"/>
            </w:rPr>
          </w:pPr>
          <w:hyperlink w:anchor="_Toc222388765" w:history="1">
            <w:r w:rsidR="00E9314B" w:rsidRPr="0036736D">
              <w:rPr>
                <w:rStyle w:val="Lienhypertexte"/>
                <w:rFonts w:eastAsiaTheme="majorEastAsia"/>
                <w:bCs/>
                <w:noProof/>
              </w:rPr>
              <w:t>ARTICLE 13.—</w:t>
            </w:r>
            <w:r w:rsidR="00E9314B" w:rsidRPr="0036736D">
              <w:rPr>
                <w:rStyle w:val="Lienhypertexte"/>
                <w:rFonts w:eastAsiaTheme="majorEastAsia"/>
                <w:noProof/>
              </w:rPr>
              <w:t xml:space="preserve"> OBLIGATIONS DU TITULAIRE</w:t>
            </w:r>
            <w:r w:rsidR="00E9314B">
              <w:rPr>
                <w:noProof/>
                <w:webHidden/>
              </w:rPr>
              <w:tab/>
            </w:r>
            <w:r w:rsidR="00E9314B">
              <w:rPr>
                <w:noProof/>
                <w:webHidden/>
              </w:rPr>
              <w:fldChar w:fldCharType="begin"/>
            </w:r>
            <w:r w:rsidR="00E9314B">
              <w:rPr>
                <w:noProof/>
                <w:webHidden/>
              </w:rPr>
              <w:instrText xml:space="preserve"> PAGEREF _Toc222388765 \h </w:instrText>
            </w:r>
            <w:r w:rsidR="00E9314B">
              <w:rPr>
                <w:noProof/>
                <w:webHidden/>
              </w:rPr>
            </w:r>
            <w:r w:rsidR="00E9314B">
              <w:rPr>
                <w:noProof/>
                <w:webHidden/>
              </w:rPr>
              <w:fldChar w:fldCharType="separate"/>
            </w:r>
            <w:r w:rsidR="00E9314B">
              <w:rPr>
                <w:noProof/>
                <w:webHidden/>
              </w:rPr>
              <w:t>11</w:t>
            </w:r>
            <w:r w:rsidR="00E9314B">
              <w:rPr>
                <w:noProof/>
                <w:webHidden/>
              </w:rPr>
              <w:fldChar w:fldCharType="end"/>
            </w:r>
          </w:hyperlink>
        </w:p>
        <w:p w14:paraId="79A083A5" w14:textId="1F695D10" w:rsidR="00E9314B" w:rsidRDefault="00C03034">
          <w:pPr>
            <w:pStyle w:val="TM2"/>
            <w:rPr>
              <w:rFonts w:asciiTheme="minorHAnsi" w:eastAsiaTheme="minorEastAsia" w:hAnsiTheme="minorHAnsi" w:cstheme="minorBidi"/>
              <w:color w:val="auto"/>
              <w:szCs w:val="22"/>
            </w:rPr>
          </w:pPr>
          <w:hyperlink w:anchor="_Toc222388766" w:history="1">
            <w:r w:rsidR="00E9314B" w:rsidRPr="0036736D">
              <w:rPr>
                <w:rStyle w:val="Lienhypertexte"/>
              </w:rPr>
              <w:t>13.1. Déclaration relative à la lutte contre le travail dissimulé</w:t>
            </w:r>
            <w:r w:rsidR="00E9314B">
              <w:rPr>
                <w:webHidden/>
              </w:rPr>
              <w:tab/>
            </w:r>
            <w:r w:rsidR="00E9314B">
              <w:rPr>
                <w:webHidden/>
              </w:rPr>
              <w:fldChar w:fldCharType="begin"/>
            </w:r>
            <w:r w:rsidR="00E9314B">
              <w:rPr>
                <w:webHidden/>
              </w:rPr>
              <w:instrText xml:space="preserve"> PAGEREF _Toc222388766 \h </w:instrText>
            </w:r>
            <w:r w:rsidR="00E9314B">
              <w:rPr>
                <w:webHidden/>
              </w:rPr>
            </w:r>
            <w:r w:rsidR="00E9314B">
              <w:rPr>
                <w:webHidden/>
              </w:rPr>
              <w:fldChar w:fldCharType="separate"/>
            </w:r>
            <w:r w:rsidR="00E9314B">
              <w:rPr>
                <w:webHidden/>
              </w:rPr>
              <w:t>11</w:t>
            </w:r>
            <w:r w:rsidR="00E9314B">
              <w:rPr>
                <w:webHidden/>
              </w:rPr>
              <w:fldChar w:fldCharType="end"/>
            </w:r>
          </w:hyperlink>
        </w:p>
        <w:p w14:paraId="1DE738B8" w14:textId="406FE011" w:rsidR="00E9314B" w:rsidRDefault="00C03034">
          <w:pPr>
            <w:pStyle w:val="TM2"/>
            <w:rPr>
              <w:rFonts w:asciiTheme="minorHAnsi" w:eastAsiaTheme="minorEastAsia" w:hAnsiTheme="minorHAnsi" w:cstheme="minorBidi"/>
              <w:color w:val="auto"/>
              <w:szCs w:val="22"/>
            </w:rPr>
          </w:pPr>
          <w:hyperlink w:anchor="_Toc222388767" w:history="1">
            <w:r w:rsidR="00E9314B" w:rsidRPr="0036736D">
              <w:rPr>
                <w:rStyle w:val="Lienhypertexte"/>
              </w:rPr>
              <w:t>13.2. Obligation de confidentialité</w:t>
            </w:r>
            <w:r w:rsidR="00E9314B">
              <w:rPr>
                <w:webHidden/>
              </w:rPr>
              <w:tab/>
            </w:r>
            <w:r w:rsidR="00E9314B">
              <w:rPr>
                <w:webHidden/>
              </w:rPr>
              <w:fldChar w:fldCharType="begin"/>
            </w:r>
            <w:r w:rsidR="00E9314B">
              <w:rPr>
                <w:webHidden/>
              </w:rPr>
              <w:instrText xml:space="preserve"> PAGEREF _Toc222388767 \h </w:instrText>
            </w:r>
            <w:r w:rsidR="00E9314B">
              <w:rPr>
                <w:webHidden/>
              </w:rPr>
            </w:r>
            <w:r w:rsidR="00E9314B">
              <w:rPr>
                <w:webHidden/>
              </w:rPr>
              <w:fldChar w:fldCharType="separate"/>
            </w:r>
            <w:r w:rsidR="00E9314B">
              <w:rPr>
                <w:webHidden/>
              </w:rPr>
              <w:t>12</w:t>
            </w:r>
            <w:r w:rsidR="00E9314B">
              <w:rPr>
                <w:webHidden/>
              </w:rPr>
              <w:fldChar w:fldCharType="end"/>
            </w:r>
          </w:hyperlink>
        </w:p>
        <w:p w14:paraId="4A77B459" w14:textId="511A8383" w:rsidR="00E9314B" w:rsidRDefault="00C03034">
          <w:pPr>
            <w:pStyle w:val="TM2"/>
            <w:rPr>
              <w:rFonts w:asciiTheme="minorHAnsi" w:eastAsiaTheme="minorEastAsia" w:hAnsiTheme="minorHAnsi" w:cstheme="minorBidi"/>
              <w:color w:val="auto"/>
              <w:szCs w:val="22"/>
            </w:rPr>
          </w:pPr>
          <w:hyperlink w:anchor="_Toc222388768" w:history="1">
            <w:r w:rsidR="00E9314B" w:rsidRPr="0036736D">
              <w:rPr>
                <w:rStyle w:val="Lienhypertexte"/>
              </w:rPr>
              <w:t>13.3. Obligation d’informer le pouvoir adjudicateur</w:t>
            </w:r>
            <w:r w:rsidR="00E9314B">
              <w:rPr>
                <w:webHidden/>
              </w:rPr>
              <w:tab/>
            </w:r>
            <w:r w:rsidR="00E9314B">
              <w:rPr>
                <w:webHidden/>
              </w:rPr>
              <w:fldChar w:fldCharType="begin"/>
            </w:r>
            <w:r w:rsidR="00E9314B">
              <w:rPr>
                <w:webHidden/>
              </w:rPr>
              <w:instrText xml:space="preserve"> PAGEREF _Toc222388768 \h </w:instrText>
            </w:r>
            <w:r w:rsidR="00E9314B">
              <w:rPr>
                <w:webHidden/>
              </w:rPr>
            </w:r>
            <w:r w:rsidR="00E9314B">
              <w:rPr>
                <w:webHidden/>
              </w:rPr>
              <w:fldChar w:fldCharType="separate"/>
            </w:r>
            <w:r w:rsidR="00E9314B">
              <w:rPr>
                <w:webHidden/>
              </w:rPr>
              <w:t>12</w:t>
            </w:r>
            <w:r w:rsidR="00E9314B">
              <w:rPr>
                <w:webHidden/>
              </w:rPr>
              <w:fldChar w:fldCharType="end"/>
            </w:r>
          </w:hyperlink>
        </w:p>
        <w:p w14:paraId="6D4E9B70" w14:textId="72AE4112" w:rsidR="00E9314B" w:rsidRDefault="00C03034">
          <w:pPr>
            <w:pStyle w:val="TM2"/>
            <w:rPr>
              <w:rFonts w:asciiTheme="minorHAnsi" w:eastAsiaTheme="minorEastAsia" w:hAnsiTheme="minorHAnsi" w:cstheme="minorBidi"/>
              <w:color w:val="auto"/>
              <w:szCs w:val="22"/>
            </w:rPr>
          </w:pPr>
          <w:hyperlink w:anchor="_Toc222388769" w:history="1">
            <w:r w:rsidR="00E9314B" w:rsidRPr="0036736D">
              <w:rPr>
                <w:rStyle w:val="Lienhypertexte"/>
              </w:rPr>
              <w:t>13.4. Sous-traitance</w:t>
            </w:r>
            <w:r w:rsidR="00E9314B">
              <w:rPr>
                <w:webHidden/>
              </w:rPr>
              <w:tab/>
            </w:r>
            <w:r w:rsidR="00E9314B">
              <w:rPr>
                <w:webHidden/>
              </w:rPr>
              <w:fldChar w:fldCharType="begin"/>
            </w:r>
            <w:r w:rsidR="00E9314B">
              <w:rPr>
                <w:webHidden/>
              </w:rPr>
              <w:instrText xml:space="preserve"> PAGEREF _Toc222388769 \h </w:instrText>
            </w:r>
            <w:r w:rsidR="00E9314B">
              <w:rPr>
                <w:webHidden/>
              </w:rPr>
            </w:r>
            <w:r w:rsidR="00E9314B">
              <w:rPr>
                <w:webHidden/>
              </w:rPr>
              <w:fldChar w:fldCharType="separate"/>
            </w:r>
            <w:r w:rsidR="00E9314B">
              <w:rPr>
                <w:webHidden/>
              </w:rPr>
              <w:t>12</w:t>
            </w:r>
            <w:r w:rsidR="00E9314B">
              <w:rPr>
                <w:webHidden/>
              </w:rPr>
              <w:fldChar w:fldCharType="end"/>
            </w:r>
          </w:hyperlink>
        </w:p>
        <w:p w14:paraId="7BAE011C" w14:textId="4A5C501D" w:rsidR="00E9314B" w:rsidRDefault="00C03034">
          <w:pPr>
            <w:pStyle w:val="TM2"/>
            <w:rPr>
              <w:rFonts w:asciiTheme="minorHAnsi" w:eastAsiaTheme="minorEastAsia" w:hAnsiTheme="minorHAnsi" w:cstheme="minorBidi"/>
              <w:color w:val="auto"/>
              <w:szCs w:val="22"/>
            </w:rPr>
          </w:pPr>
          <w:hyperlink w:anchor="_Toc222388770" w:history="1">
            <w:r w:rsidR="00E9314B" w:rsidRPr="0036736D">
              <w:rPr>
                <w:rStyle w:val="Lienhypertexte"/>
              </w:rPr>
              <w:t>13.5. Exécution du marché aux frais et risques du titulaire</w:t>
            </w:r>
            <w:r w:rsidR="00E9314B">
              <w:rPr>
                <w:webHidden/>
              </w:rPr>
              <w:tab/>
            </w:r>
            <w:r w:rsidR="00E9314B">
              <w:rPr>
                <w:webHidden/>
              </w:rPr>
              <w:fldChar w:fldCharType="begin"/>
            </w:r>
            <w:r w:rsidR="00E9314B">
              <w:rPr>
                <w:webHidden/>
              </w:rPr>
              <w:instrText xml:space="preserve"> PAGEREF _Toc222388770 \h </w:instrText>
            </w:r>
            <w:r w:rsidR="00E9314B">
              <w:rPr>
                <w:webHidden/>
              </w:rPr>
            </w:r>
            <w:r w:rsidR="00E9314B">
              <w:rPr>
                <w:webHidden/>
              </w:rPr>
              <w:fldChar w:fldCharType="separate"/>
            </w:r>
            <w:r w:rsidR="00E9314B">
              <w:rPr>
                <w:webHidden/>
              </w:rPr>
              <w:t>13</w:t>
            </w:r>
            <w:r w:rsidR="00E9314B">
              <w:rPr>
                <w:webHidden/>
              </w:rPr>
              <w:fldChar w:fldCharType="end"/>
            </w:r>
          </w:hyperlink>
        </w:p>
        <w:p w14:paraId="5D6D7EE3" w14:textId="5EF17CCB" w:rsidR="00E9314B" w:rsidRDefault="00C03034">
          <w:pPr>
            <w:pStyle w:val="TM2"/>
            <w:rPr>
              <w:rFonts w:asciiTheme="minorHAnsi" w:eastAsiaTheme="minorEastAsia" w:hAnsiTheme="minorHAnsi" w:cstheme="minorBidi"/>
              <w:color w:val="auto"/>
              <w:szCs w:val="22"/>
            </w:rPr>
          </w:pPr>
          <w:hyperlink w:anchor="_Toc222388771" w:history="1">
            <w:r w:rsidR="00E9314B" w:rsidRPr="0036736D">
              <w:rPr>
                <w:rStyle w:val="Lienhypertexte"/>
              </w:rPr>
              <w:t>13.6. Assurances</w:t>
            </w:r>
            <w:r w:rsidR="00E9314B">
              <w:rPr>
                <w:webHidden/>
              </w:rPr>
              <w:tab/>
            </w:r>
            <w:r w:rsidR="00E9314B">
              <w:rPr>
                <w:webHidden/>
              </w:rPr>
              <w:fldChar w:fldCharType="begin"/>
            </w:r>
            <w:r w:rsidR="00E9314B">
              <w:rPr>
                <w:webHidden/>
              </w:rPr>
              <w:instrText xml:space="preserve"> PAGEREF _Toc222388771 \h </w:instrText>
            </w:r>
            <w:r w:rsidR="00E9314B">
              <w:rPr>
                <w:webHidden/>
              </w:rPr>
            </w:r>
            <w:r w:rsidR="00E9314B">
              <w:rPr>
                <w:webHidden/>
              </w:rPr>
              <w:fldChar w:fldCharType="separate"/>
            </w:r>
            <w:r w:rsidR="00E9314B">
              <w:rPr>
                <w:webHidden/>
              </w:rPr>
              <w:t>13</w:t>
            </w:r>
            <w:r w:rsidR="00E9314B">
              <w:rPr>
                <w:webHidden/>
              </w:rPr>
              <w:fldChar w:fldCharType="end"/>
            </w:r>
          </w:hyperlink>
        </w:p>
        <w:p w14:paraId="4CA9C413" w14:textId="6FE04167" w:rsidR="00E9314B" w:rsidRDefault="00C03034">
          <w:pPr>
            <w:pStyle w:val="TM1"/>
            <w:rPr>
              <w:rFonts w:asciiTheme="minorHAnsi" w:eastAsiaTheme="minorEastAsia" w:hAnsiTheme="minorHAnsi" w:cstheme="minorBidi"/>
              <w:smallCaps w:val="0"/>
              <w:noProof/>
              <w:color w:val="auto"/>
              <w:szCs w:val="22"/>
            </w:rPr>
          </w:pPr>
          <w:hyperlink w:anchor="_Toc222388772" w:history="1">
            <w:r w:rsidR="00E9314B" w:rsidRPr="0036736D">
              <w:rPr>
                <w:rStyle w:val="Lienhypertexte"/>
                <w:rFonts w:eastAsiaTheme="majorEastAsia"/>
                <w:bCs/>
                <w:noProof/>
              </w:rPr>
              <w:t>ARTICLE 14.—</w:t>
            </w:r>
            <w:r w:rsidR="00E9314B" w:rsidRPr="0036736D">
              <w:rPr>
                <w:rStyle w:val="Lienhypertexte"/>
                <w:rFonts w:eastAsiaTheme="majorEastAsia"/>
                <w:noProof/>
              </w:rPr>
              <w:t xml:space="preserve"> Convention sur la preuve</w:t>
            </w:r>
            <w:r w:rsidR="00E9314B">
              <w:rPr>
                <w:noProof/>
                <w:webHidden/>
              </w:rPr>
              <w:tab/>
            </w:r>
            <w:r w:rsidR="00E9314B">
              <w:rPr>
                <w:noProof/>
                <w:webHidden/>
              </w:rPr>
              <w:fldChar w:fldCharType="begin"/>
            </w:r>
            <w:r w:rsidR="00E9314B">
              <w:rPr>
                <w:noProof/>
                <w:webHidden/>
              </w:rPr>
              <w:instrText xml:space="preserve"> PAGEREF _Toc222388772 \h </w:instrText>
            </w:r>
            <w:r w:rsidR="00E9314B">
              <w:rPr>
                <w:noProof/>
                <w:webHidden/>
              </w:rPr>
            </w:r>
            <w:r w:rsidR="00E9314B">
              <w:rPr>
                <w:noProof/>
                <w:webHidden/>
              </w:rPr>
              <w:fldChar w:fldCharType="separate"/>
            </w:r>
            <w:r w:rsidR="00E9314B">
              <w:rPr>
                <w:noProof/>
                <w:webHidden/>
              </w:rPr>
              <w:t>13</w:t>
            </w:r>
            <w:r w:rsidR="00E9314B">
              <w:rPr>
                <w:noProof/>
                <w:webHidden/>
              </w:rPr>
              <w:fldChar w:fldCharType="end"/>
            </w:r>
          </w:hyperlink>
        </w:p>
        <w:p w14:paraId="27D3DF2D" w14:textId="4A0701B4" w:rsidR="00E9314B" w:rsidRDefault="00C03034">
          <w:pPr>
            <w:pStyle w:val="TM1"/>
            <w:rPr>
              <w:rFonts w:asciiTheme="minorHAnsi" w:eastAsiaTheme="minorEastAsia" w:hAnsiTheme="minorHAnsi" w:cstheme="minorBidi"/>
              <w:smallCaps w:val="0"/>
              <w:noProof/>
              <w:color w:val="auto"/>
              <w:szCs w:val="22"/>
            </w:rPr>
          </w:pPr>
          <w:hyperlink w:anchor="_Toc222388773" w:history="1">
            <w:r w:rsidR="00E9314B" w:rsidRPr="0036736D">
              <w:rPr>
                <w:rStyle w:val="Lienhypertexte"/>
                <w:rFonts w:eastAsiaTheme="majorEastAsia"/>
                <w:bCs/>
                <w:noProof/>
              </w:rPr>
              <w:t>ARTICLE 15.—</w:t>
            </w:r>
            <w:r w:rsidR="00E9314B" w:rsidRPr="0036736D">
              <w:rPr>
                <w:rStyle w:val="Lienhypertexte"/>
                <w:rFonts w:eastAsiaTheme="majorEastAsia"/>
                <w:noProof/>
              </w:rPr>
              <w:t xml:space="preserve"> Suivi des prestations proposées par le titulaire</w:t>
            </w:r>
            <w:r w:rsidR="00E9314B">
              <w:rPr>
                <w:noProof/>
                <w:webHidden/>
              </w:rPr>
              <w:tab/>
            </w:r>
            <w:r w:rsidR="00E9314B">
              <w:rPr>
                <w:noProof/>
                <w:webHidden/>
              </w:rPr>
              <w:fldChar w:fldCharType="begin"/>
            </w:r>
            <w:r w:rsidR="00E9314B">
              <w:rPr>
                <w:noProof/>
                <w:webHidden/>
              </w:rPr>
              <w:instrText xml:space="preserve"> PAGEREF _Toc222388773 \h </w:instrText>
            </w:r>
            <w:r w:rsidR="00E9314B">
              <w:rPr>
                <w:noProof/>
                <w:webHidden/>
              </w:rPr>
            </w:r>
            <w:r w:rsidR="00E9314B">
              <w:rPr>
                <w:noProof/>
                <w:webHidden/>
              </w:rPr>
              <w:fldChar w:fldCharType="separate"/>
            </w:r>
            <w:r w:rsidR="00E9314B">
              <w:rPr>
                <w:noProof/>
                <w:webHidden/>
              </w:rPr>
              <w:t>13</w:t>
            </w:r>
            <w:r w:rsidR="00E9314B">
              <w:rPr>
                <w:noProof/>
                <w:webHidden/>
              </w:rPr>
              <w:fldChar w:fldCharType="end"/>
            </w:r>
          </w:hyperlink>
        </w:p>
        <w:p w14:paraId="062585C3" w14:textId="5AC6AA33" w:rsidR="00E9314B" w:rsidRDefault="00C03034">
          <w:pPr>
            <w:pStyle w:val="TM1"/>
            <w:rPr>
              <w:rFonts w:asciiTheme="minorHAnsi" w:eastAsiaTheme="minorEastAsia" w:hAnsiTheme="minorHAnsi" w:cstheme="minorBidi"/>
              <w:smallCaps w:val="0"/>
              <w:noProof/>
              <w:color w:val="auto"/>
              <w:szCs w:val="22"/>
            </w:rPr>
          </w:pPr>
          <w:hyperlink w:anchor="_Toc222388774" w:history="1">
            <w:r w:rsidR="00E9314B" w:rsidRPr="0036736D">
              <w:rPr>
                <w:rStyle w:val="Lienhypertexte"/>
                <w:rFonts w:eastAsiaTheme="majorEastAsia"/>
                <w:bCs/>
                <w:noProof/>
              </w:rPr>
              <w:t>ARTICLE 16.—</w:t>
            </w:r>
            <w:r w:rsidR="00E9314B" w:rsidRPr="0036736D">
              <w:rPr>
                <w:rStyle w:val="Lienhypertexte"/>
                <w:rFonts w:eastAsiaTheme="majorEastAsia"/>
                <w:noProof/>
              </w:rPr>
              <w:t xml:space="preserve"> Langue</w:t>
            </w:r>
            <w:r w:rsidR="00E9314B">
              <w:rPr>
                <w:noProof/>
                <w:webHidden/>
              </w:rPr>
              <w:tab/>
            </w:r>
            <w:r w:rsidR="00E9314B">
              <w:rPr>
                <w:noProof/>
                <w:webHidden/>
              </w:rPr>
              <w:fldChar w:fldCharType="begin"/>
            </w:r>
            <w:r w:rsidR="00E9314B">
              <w:rPr>
                <w:noProof/>
                <w:webHidden/>
              </w:rPr>
              <w:instrText xml:space="preserve"> PAGEREF _Toc222388774 \h </w:instrText>
            </w:r>
            <w:r w:rsidR="00E9314B">
              <w:rPr>
                <w:noProof/>
                <w:webHidden/>
              </w:rPr>
            </w:r>
            <w:r w:rsidR="00E9314B">
              <w:rPr>
                <w:noProof/>
                <w:webHidden/>
              </w:rPr>
              <w:fldChar w:fldCharType="separate"/>
            </w:r>
            <w:r w:rsidR="00E9314B">
              <w:rPr>
                <w:noProof/>
                <w:webHidden/>
              </w:rPr>
              <w:t>13</w:t>
            </w:r>
            <w:r w:rsidR="00E9314B">
              <w:rPr>
                <w:noProof/>
                <w:webHidden/>
              </w:rPr>
              <w:fldChar w:fldCharType="end"/>
            </w:r>
          </w:hyperlink>
        </w:p>
        <w:p w14:paraId="68893718" w14:textId="2A782358" w:rsidR="00E9314B" w:rsidRDefault="00C03034">
          <w:pPr>
            <w:pStyle w:val="TM1"/>
            <w:rPr>
              <w:rFonts w:asciiTheme="minorHAnsi" w:eastAsiaTheme="minorEastAsia" w:hAnsiTheme="minorHAnsi" w:cstheme="minorBidi"/>
              <w:smallCaps w:val="0"/>
              <w:noProof/>
              <w:color w:val="auto"/>
              <w:szCs w:val="22"/>
            </w:rPr>
          </w:pPr>
          <w:hyperlink w:anchor="_Toc222388775" w:history="1">
            <w:r w:rsidR="00E9314B" w:rsidRPr="0036736D">
              <w:rPr>
                <w:rStyle w:val="Lienhypertexte"/>
                <w:rFonts w:eastAsiaTheme="majorEastAsia"/>
                <w:bCs/>
                <w:noProof/>
              </w:rPr>
              <w:t>ARTICLE 17.—</w:t>
            </w:r>
            <w:r w:rsidR="00E9314B" w:rsidRPr="0036736D">
              <w:rPr>
                <w:rStyle w:val="Lienhypertexte"/>
                <w:rFonts w:eastAsiaTheme="majorEastAsia"/>
                <w:noProof/>
              </w:rPr>
              <w:t xml:space="preserve"> Contentieux</w:t>
            </w:r>
            <w:r w:rsidR="00E9314B">
              <w:rPr>
                <w:noProof/>
                <w:webHidden/>
              </w:rPr>
              <w:tab/>
            </w:r>
            <w:r w:rsidR="00E9314B">
              <w:rPr>
                <w:noProof/>
                <w:webHidden/>
              </w:rPr>
              <w:fldChar w:fldCharType="begin"/>
            </w:r>
            <w:r w:rsidR="00E9314B">
              <w:rPr>
                <w:noProof/>
                <w:webHidden/>
              </w:rPr>
              <w:instrText xml:space="preserve"> PAGEREF _Toc222388775 \h </w:instrText>
            </w:r>
            <w:r w:rsidR="00E9314B">
              <w:rPr>
                <w:noProof/>
                <w:webHidden/>
              </w:rPr>
            </w:r>
            <w:r w:rsidR="00E9314B">
              <w:rPr>
                <w:noProof/>
                <w:webHidden/>
              </w:rPr>
              <w:fldChar w:fldCharType="separate"/>
            </w:r>
            <w:r w:rsidR="00E9314B">
              <w:rPr>
                <w:noProof/>
                <w:webHidden/>
              </w:rPr>
              <w:t>13</w:t>
            </w:r>
            <w:r w:rsidR="00E9314B">
              <w:rPr>
                <w:noProof/>
                <w:webHidden/>
              </w:rPr>
              <w:fldChar w:fldCharType="end"/>
            </w:r>
          </w:hyperlink>
        </w:p>
        <w:p w14:paraId="731388D4" w14:textId="37EC116C" w:rsidR="00E9314B" w:rsidRDefault="00C03034">
          <w:pPr>
            <w:pStyle w:val="TM1"/>
            <w:rPr>
              <w:rFonts w:asciiTheme="minorHAnsi" w:eastAsiaTheme="minorEastAsia" w:hAnsiTheme="minorHAnsi" w:cstheme="minorBidi"/>
              <w:smallCaps w:val="0"/>
              <w:noProof/>
              <w:color w:val="auto"/>
              <w:szCs w:val="22"/>
            </w:rPr>
          </w:pPr>
          <w:hyperlink w:anchor="_Toc222388776" w:history="1">
            <w:r w:rsidR="00E9314B" w:rsidRPr="0036736D">
              <w:rPr>
                <w:rStyle w:val="Lienhypertexte"/>
                <w:rFonts w:eastAsiaTheme="majorEastAsia"/>
                <w:bCs/>
                <w:noProof/>
              </w:rPr>
              <w:t>ARTICLE 18.—</w:t>
            </w:r>
            <w:r w:rsidR="00E9314B" w:rsidRPr="0036736D">
              <w:rPr>
                <w:rStyle w:val="Lienhypertexte"/>
                <w:rFonts w:eastAsiaTheme="majorEastAsia"/>
                <w:noProof/>
              </w:rPr>
              <w:t xml:space="preserve"> Dérogations au ccag-FCS</w:t>
            </w:r>
            <w:r w:rsidR="00E9314B">
              <w:rPr>
                <w:noProof/>
                <w:webHidden/>
              </w:rPr>
              <w:tab/>
            </w:r>
            <w:r w:rsidR="00E9314B">
              <w:rPr>
                <w:noProof/>
                <w:webHidden/>
              </w:rPr>
              <w:fldChar w:fldCharType="begin"/>
            </w:r>
            <w:r w:rsidR="00E9314B">
              <w:rPr>
                <w:noProof/>
                <w:webHidden/>
              </w:rPr>
              <w:instrText xml:space="preserve"> PAGEREF _Toc222388776 \h </w:instrText>
            </w:r>
            <w:r w:rsidR="00E9314B">
              <w:rPr>
                <w:noProof/>
                <w:webHidden/>
              </w:rPr>
            </w:r>
            <w:r w:rsidR="00E9314B">
              <w:rPr>
                <w:noProof/>
                <w:webHidden/>
              </w:rPr>
              <w:fldChar w:fldCharType="separate"/>
            </w:r>
            <w:r w:rsidR="00E9314B">
              <w:rPr>
                <w:noProof/>
                <w:webHidden/>
              </w:rPr>
              <w:t>14</w:t>
            </w:r>
            <w:r w:rsidR="00E9314B">
              <w:rPr>
                <w:noProof/>
                <w:webHidden/>
              </w:rPr>
              <w:fldChar w:fldCharType="end"/>
            </w:r>
          </w:hyperlink>
        </w:p>
        <w:p w14:paraId="1AC2964B" w14:textId="4F75298C" w:rsidR="00ED3425" w:rsidRDefault="004D420F">
          <w:r>
            <w:fldChar w:fldCharType="end"/>
          </w:r>
        </w:p>
      </w:sdtContent>
    </w:sdt>
    <w:p w14:paraId="360C70BF" w14:textId="77777777" w:rsidR="001F36BB" w:rsidRDefault="001F36BB" w:rsidP="00C50BDF">
      <w:pPr>
        <w:pStyle w:val="1Article"/>
        <w:numPr>
          <w:ilvl w:val="0"/>
          <w:numId w:val="0"/>
        </w:numPr>
      </w:pPr>
    </w:p>
    <w:p w14:paraId="164E1D64" w14:textId="77777777" w:rsidR="008F50F1" w:rsidRDefault="008F50F1" w:rsidP="00F71808"/>
    <w:p w14:paraId="4DCA3C2D" w14:textId="77777777" w:rsidR="00C511DF" w:rsidRDefault="008F50F1" w:rsidP="00C50BDF">
      <w:pPr>
        <w:pStyle w:val="1Article"/>
      </w:pPr>
      <w:r>
        <w:br w:type="page"/>
      </w:r>
    </w:p>
    <w:p w14:paraId="627362B0" w14:textId="6E260CEF" w:rsidR="006675A6" w:rsidRDefault="00BD2DED" w:rsidP="00C50BDF">
      <w:pPr>
        <w:pStyle w:val="1Article"/>
        <w:numPr>
          <w:ilvl w:val="0"/>
          <w:numId w:val="10"/>
        </w:numPr>
      </w:pPr>
      <w:bookmarkStart w:id="1" w:name="_Toc222388737"/>
      <w:bookmarkStart w:id="2" w:name="_Hlk215500507"/>
      <w:r>
        <w:lastRenderedPageBreak/>
        <w:t>Objet du marché</w:t>
      </w:r>
      <w:bookmarkEnd w:id="1"/>
    </w:p>
    <w:p w14:paraId="4A893388" w14:textId="77777777" w:rsidR="00BD2DED" w:rsidRPr="00BD2DED" w:rsidRDefault="00BD2DED" w:rsidP="00BD2DED">
      <w:pPr>
        <w:pStyle w:val="Paragraphetexte"/>
      </w:pPr>
      <w:bookmarkStart w:id="3" w:name="_Toc231026682"/>
      <w:bookmarkStart w:id="4" w:name="_Toc236020531"/>
      <w:bookmarkStart w:id="5" w:name="_Toc242179724"/>
      <w:bookmarkStart w:id="6" w:name="_Toc251169746"/>
      <w:bookmarkStart w:id="7" w:name="_Toc251579028"/>
      <w:bookmarkStart w:id="8" w:name="_Toc261613342"/>
      <w:bookmarkStart w:id="9" w:name="_Toc261625515"/>
      <w:bookmarkStart w:id="10" w:name="_Toc262649023"/>
      <w:bookmarkStart w:id="11" w:name="_Toc281834460"/>
      <w:bookmarkStart w:id="12" w:name="_Toc282422308"/>
      <w:bookmarkStart w:id="13" w:name="_Toc282433163"/>
      <w:bookmarkStart w:id="14" w:name="_Toc283046127"/>
      <w:bookmarkStart w:id="15" w:name="_Toc292448186"/>
      <w:bookmarkStart w:id="16" w:name="_Toc292468835"/>
      <w:bookmarkStart w:id="17" w:name="_Toc293053318"/>
      <w:bookmarkStart w:id="18" w:name="_Toc293053367"/>
      <w:bookmarkStart w:id="19" w:name="_Toc293062748"/>
      <w:bookmarkStart w:id="20" w:name="_Toc309145774"/>
      <w:bookmarkStart w:id="21" w:name="_Toc309207095"/>
      <w:bookmarkStart w:id="22" w:name="_Toc309398354"/>
      <w:bookmarkStart w:id="23" w:name="_Toc310002387"/>
      <w:r w:rsidRPr="00BD2DED">
        <w:t>Ce marché de fournitures porte sur l’achat de produits d’hygiène et d’entretien.</w:t>
      </w:r>
    </w:p>
    <w:p w14:paraId="0C8AC000" w14:textId="77777777" w:rsidR="00BD2DED" w:rsidRPr="00BD2DED" w:rsidRDefault="00BD2DED" w:rsidP="00C50BDF">
      <w:pPr>
        <w:pStyle w:val="1Article"/>
      </w:pPr>
      <w:bookmarkStart w:id="24" w:name="_Toc327459774"/>
      <w:bookmarkStart w:id="25" w:name="_Toc333566292"/>
      <w:bookmarkStart w:id="26" w:name="_Toc90473391"/>
      <w:bookmarkStart w:id="27" w:name="_Toc222388738"/>
      <w:r w:rsidRPr="00BD2DED">
        <w:t>forme du marché</w:t>
      </w:r>
      <w:bookmarkEnd w:id="24"/>
      <w:bookmarkEnd w:id="25"/>
      <w:bookmarkEnd w:id="26"/>
      <w:bookmarkEnd w:id="27"/>
    </w:p>
    <w:p w14:paraId="41F48070" w14:textId="77777777" w:rsidR="00BD2DED" w:rsidRPr="00BD2DED" w:rsidRDefault="00BD2DED" w:rsidP="00BD2DED">
      <w:pPr>
        <w:pStyle w:val="2Titre2-RC"/>
      </w:pPr>
      <w:bookmarkStart w:id="28" w:name="_Toc327459775"/>
      <w:bookmarkStart w:id="29" w:name="_Toc333566293"/>
      <w:bookmarkStart w:id="30" w:name="_Toc90473392"/>
      <w:bookmarkStart w:id="31" w:name="_Toc222388739"/>
      <w:r w:rsidRPr="00BD2DED">
        <w:t>Allotissement</w:t>
      </w:r>
      <w:bookmarkEnd w:id="28"/>
      <w:bookmarkEnd w:id="29"/>
      <w:bookmarkEnd w:id="30"/>
      <w:bookmarkEnd w:id="31"/>
    </w:p>
    <w:p w14:paraId="5BF02A9E" w14:textId="12AFFC34" w:rsidR="00BD2DED" w:rsidRPr="00BD2DED" w:rsidRDefault="00BD2DED" w:rsidP="00BD2DED">
      <w:pPr>
        <w:pStyle w:val="Paragraphetexte"/>
      </w:pPr>
      <w:bookmarkStart w:id="32" w:name="_Toc327459776"/>
      <w:bookmarkStart w:id="33" w:name="_Toc333566294"/>
      <w:r w:rsidRPr="00BD2DED">
        <w:t xml:space="preserve">Le marché comporte </w:t>
      </w:r>
      <w:r w:rsidR="00E808A7">
        <w:rPr>
          <w:b/>
        </w:rPr>
        <w:t>trois</w:t>
      </w:r>
      <w:r w:rsidRPr="00BD2DED">
        <w:rPr>
          <w:b/>
        </w:rPr>
        <w:t xml:space="preserve"> lots</w:t>
      </w:r>
      <w:r w:rsidRPr="00BD2DED">
        <w:t> :</w:t>
      </w:r>
    </w:p>
    <w:p w14:paraId="279FD8C0" w14:textId="656D9759" w:rsidR="00BD2DED" w:rsidRPr="00BD2DED" w:rsidRDefault="00BD2DED" w:rsidP="00BD2DED">
      <w:pPr>
        <w:pStyle w:val="Pucedeparagraphe1"/>
      </w:pPr>
      <w:proofErr w:type="gramStart"/>
      <w:r w:rsidRPr="00BD2DED">
        <w:t>lot</w:t>
      </w:r>
      <w:proofErr w:type="gramEnd"/>
      <w:r w:rsidRPr="00BD2DED">
        <w:t xml:space="preserve"> n° 1 : papier hygiénique et domestique, sacs poubelle, gants et vaisselle jetable ; </w:t>
      </w:r>
    </w:p>
    <w:p w14:paraId="3A4B0010" w14:textId="77777777" w:rsidR="00BD2DED" w:rsidRPr="00BD2DED" w:rsidRDefault="00BD2DED" w:rsidP="00C07D81">
      <w:pPr>
        <w:pStyle w:val="Pucedeparagraphe1"/>
      </w:pPr>
      <w:proofErr w:type="gramStart"/>
      <w:r w:rsidRPr="00BD2DED">
        <w:t>lot</w:t>
      </w:r>
      <w:proofErr w:type="gramEnd"/>
      <w:r w:rsidRPr="00BD2DED">
        <w:t xml:space="preserve"> n° 2 : produits d’entretien, désinfectants, produits d’hygiène et d’entretien éco</w:t>
      </w:r>
      <w:r w:rsidRPr="00BD2DED">
        <w:noBreakHyphen/>
        <w:t xml:space="preserve">responsables, matériel d’entretien ; </w:t>
      </w:r>
    </w:p>
    <w:p w14:paraId="6A4E3622" w14:textId="74D04FE6" w:rsidR="00BD2DED" w:rsidRPr="00BD2DED" w:rsidRDefault="00BD2DED" w:rsidP="00C07D81">
      <w:pPr>
        <w:pStyle w:val="Pucedeparagraphe1"/>
      </w:pPr>
      <w:proofErr w:type="gramStart"/>
      <w:r w:rsidRPr="00BD2DED">
        <w:t>lot</w:t>
      </w:r>
      <w:proofErr w:type="gramEnd"/>
      <w:r w:rsidRPr="00BD2DED">
        <w:t xml:space="preserve"> n° 3 : matériel d’entretien (Ce lot est </w:t>
      </w:r>
      <w:r w:rsidRPr="00BD2DED">
        <w:rPr>
          <w:b/>
        </w:rPr>
        <w:t>réservé aux entreprises adaptées et aux établissements et services d’aide par le travail</w:t>
      </w:r>
      <w:r w:rsidRPr="00BD2DED">
        <w:t>, en application des articles L. 2113-12 et R. 2113-7 du code de la commande publique)</w:t>
      </w:r>
      <w:r w:rsidR="00C07D81">
        <w:t>.</w:t>
      </w:r>
    </w:p>
    <w:p w14:paraId="1DED49E2" w14:textId="77777777" w:rsidR="00BD2DED" w:rsidRPr="00BD2DED" w:rsidRDefault="00BD2DED" w:rsidP="00BD2DED">
      <w:pPr>
        <w:pStyle w:val="2Titre2-RC"/>
      </w:pPr>
      <w:bookmarkStart w:id="34" w:name="_Toc75276325"/>
      <w:bookmarkStart w:id="35" w:name="_Toc75276389"/>
      <w:bookmarkStart w:id="36" w:name="_Toc75276552"/>
      <w:bookmarkStart w:id="37" w:name="_Toc75442112"/>
      <w:bookmarkStart w:id="38" w:name="_Toc76392855"/>
      <w:bookmarkStart w:id="39" w:name="_Toc76394228"/>
      <w:bookmarkStart w:id="40" w:name="_Toc90473393"/>
      <w:bookmarkStart w:id="41" w:name="_Toc222388740"/>
      <w:bookmarkEnd w:id="34"/>
      <w:bookmarkEnd w:id="35"/>
      <w:bookmarkEnd w:id="36"/>
      <w:bookmarkEnd w:id="37"/>
      <w:bookmarkEnd w:id="38"/>
      <w:bookmarkEnd w:id="39"/>
      <w:r w:rsidRPr="00BD2DED">
        <w:t>Fractionnement du marché</w:t>
      </w:r>
      <w:bookmarkEnd w:id="32"/>
      <w:bookmarkEnd w:id="33"/>
      <w:bookmarkEnd w:id="40"/>
      <w:bookmarkEnd w:id="41"/>
    </w:p>
    <w:p w14:paraId="3338281D" w14:textId="30CF9771" w:rsidR="00BD2DED" w:rsidRPr="00BD2DED" w:rsidRDefault="00BD2DED" w:rsidP="00C07D81">
      <w:pPr>
        <w:pStyle w:val="Paragraphetexte"/>
      </w:pPr>
      <w:bookmarkStart w:id="42" w:name="_Toc232829336"/>
      <w:bookmarkStart w:id="43" w:name="_Toc233002953"/>
      <w:bookmarkStart w:id="44" w:name="_Toc235416106"/>
      <w:bookmarkStart w:id="45" w:name="_Toc235508750"/>
      <w:bookmarkStart w:id="46" w:name="_Toc235521614"/>
      <w:bookmarkStart w:id="47" w:name="_Toc235692497"/>
      <w:bookmarkStart w:id="48" w:name="_Toc236136112"/>
      <w:bookmarkStart w:id="49" w:name="_Toc265488004"/>
      <w:bookmarkStart w:id="50" w:name="_Toc266111179"/>
      <w:bookmarkStart w:id="51" w:name="_Toc292380826"/>
      <w:bookmarkStart w:id="52" w:name="_Toc292468810"/>
      <w:bookmarkStart w:id="53" w:name="_Toc293053249"/>
      <w:bookmarkStart w:id="54" w:name="_Toc293053288"/>
      <w:bookmarkStart w:id="55" w:name="_Toc293062708"/>
      <w:bookmarkStart w:id="56" w:name="_Toc295485658"/>
      <w:bookmarkStart w:id="57" w:name="_Toc297729511"/>
      <w:bookmarkStart w:id="58" w:name="_Toc396225603"/>
      <w:bookmarkStart w:id="59" w:name="_Toc398303291"/>
      <w:bookmarkStart w:id="60" w:name="_Toc405305430"/>
      <w:bookmarkStart w:id="61" w:name="_Toc450660329"/>
      <w:r w:rsidRPr="00BD2DED">
        <w:t xml:space="preserve">Ce marché est un accord-cadre </w:t>
      </w:r>
      <w:r w:rsidRPr="00E808A7">
        <w:rPr>
          <w:bCs/>
        </w:rPr>
        <w:t>mono-attributaire</w:t>
      </w:r>
      <w:r w:rsidRPr="00BD2DED">
        <w:t xml:space="preserve"> s’exécutant par l’émission de bons de commande qui peuvent être émis jusqu’au dernier jour de validité du marché (articles R. 2162-2, second alinéa, à R. 2162-6, R. 2162</w:t>
      </w:r>
      <w:r w:rsidRPr="00BD2DED">
        <w:noBreakHyphen/>
        <w:t xml:space="preserve">13 et R. 2162-14 du code de la commande publique), sans minimum mais soumis </w:t>
      </w:r>
      <w:r w:rsidR="006A639C" w:rsidRPr="00BD2DED">
        <w:t>aux maximas prévus</w:t>
      </w:r>
      <w:r w:rsidRPr="00BD2DED">
        <w:t xml:space="preserve"> à l’article 2.3.</w:t>
      </w:r>
    </w:p>
    <w:p w14:paraId="0C679F2E" w14:textId="26F1938F" w:rsidR="00BD2DED" w:rsidRPr="00BD2DED" w:rsidRDefault="00BD2DED" w:rsidP="00C07D81">
      <w:pPr>
        <w:pStyle w:val="2Titre2-RC"/>
      </w:pPr>
      <w:bookmarkStart w:id="62" w:name="_Toc77067488"/>
      <w:bookmarkStart w:id="63" w:name="_Toc77276084"/>
      <w:bookmarkStart w:id="64" w:name="_Toc77584673"/>
      <w:bookmarkStart w:id="65" w:name="_Toc90473394"/>
      <w:bookmarkStart w:id="66" w:name="_Toc222388741"/>
      <w:r w:rsidRPr="00BD2DED">
        <w:t>Montants maxima</w:t>
      </w:r>
      <w:r w:rsidR="006A639C">
        <w:t>s</w:t>
      </w:r>
      <w:r w:rsidRPr="00BD2DED">
        <w:t xml:space="preserve"> du marché</w:t>
      </w:r>
      <w:bookmarkEnd w:id="62"/>
      <w:bookmarkEnd w:id="63"/>
      <w:bookmarkEnd w:id="64"/>
      <w:bookmarkEnd w:id="65"/>
      <w:bookmarkEnd w:id="66"/>
    </w:p>
    <w:p w14:paraId="7E52557D" w14:textId="26AA67ED" w:rsidR="00BD2DED" w:rsidRPr="00BD2DED" w:rsidRDefault="00BD2DED" w:rsidP="001917F1">
      <w:pPr>
        <w:pStyle w:val="Paragraphetexte"/>
      </w:pPr>
      <w:r w:rsidRPr="00BD2DED">
        <w:t>Pour chaque lot, la valeur maximale d’achats susceptibles d’être commandés pendant la durée totale d’exécution de l’accord-cadre</w:t>
      </w:r>
      <w:r w:rsidR="006A639C">
        <w:t>, reconductions comprises</w:t>
      </w:r>
      <w:r w:rsidRPr="00BD2DED">
        <w:t xml:space="preserve">, est la suivante : </w:t>
      </w:r>
    </w:p>
    <w:p w14:paraId="1DE7F231" w14:textId="77777777" w:rsidR="001917F1" w:rsidRPr="00FF39F2" w:rsidRDefault="00BD2DED" w:rsidP="001917F1">
      <w:pPr>
        <w:pStyle w:val="Pucedeparagraphe1"/>
        <w:rPr>
          <w:szCs w:val="22"/>
        </w:rPr>
      </w:pPr>
      <w:proofErr w:type="gramStart"/>
      <w:r w:rsidRPr="00BD2DED">
        <w:t>lot</w:t>
      </w:r>
      <w:proofErr w:type="gramEnd"/>
      <w:r w:rsidRPr="00BD2DED">
        <w:t xml:space="preserve"> n° 1 (papier hygiénique et domestique, sacs poubelle, gants et vaisselle jetable) : </w:t>
      </w:r>
      <w:r w:rsidR="001917F1">
        <w:rPr>
          <w:szCs w:val="22"/>
        </w:rPr>
        <w:t xml:space="preserve">190 000 </w:t>
      </w:r>
      <w:r w:rsidR="001917F1" w:rsidRPr="00FF39F2">
        <w:rPr>
          <w:szCs w:val="22"/>
        </w:rPr>
        <w:t xml:space="preserve">euros </w:t>
      </w:r>
      <w:bookmarkStart w:id="67" w:name="_Hlk221545405"/>
      <w:r w:rsidR="001917F1" w:rsidRPr="00FF39F2">
        <w:rPr>
          <w:szCs w:val="22"/>
        </w:rPr>
        <w:t>toutes taxes comprises </w:t>
      </w:r>
      <w:bookmarkEnd w:id="67"/>
      <w:r w:rsidR="001917F1" w:rsidRPr="00FF39F2">
        <w:rPr>
          <w:szCs w:val="22"/>
        </w:rPr>
        <w:t xml:space="preserve">; </w:t>
      </w:r>
    </w:p>
    <w:p w14:paraId="12F473DF" w14:textId="624AFAC0" w:rsidR="00BD2DED" w:rsidRPr="00BD2DED" w:rsidRDefault="00BD2DED" w:rsidP="001917F1">
      <w:pPr>
        <w:pStyle w:val="Pucedeparagraphe1"/>
      </w:pPr>
      <w:proofErr w:type="gramStart"/>
      <w:r w:rsidRPr="00BD2DED">
        <w:t>lot</w:t>
      </w:r>
      <w:proofErr w:type="gramEnd"/>
      <w:r w:rsidRPr="00BD2DED">
        <w:t xml:space="preserve"> n° 2 (produits d’entretien, désinfectants, produits d’hygiène et d’entretien éco</w:t>
      </w:r>
      <w:r w:rsidRPr="00BD2DED">
        <w:noBreakHyphen/>
        <w:t>responsables, matériel d’entretien) : </w:t>
      </w:r>
      <w:r w:rsidR="001917F1" w:rsidRPr="001917F1">
        <w:t>70 000 euros toutes taxes comprises</w:t>
      </w:r>
      <w:r w:rsidR="001917F1">
        <w:t> </w:t>
      </w:r>
      <w:r w:rsidRPr="00BD2DED">
        <w:t xml:space="preserve">; </w:t>
      </w:r>
    </w:p>
    <w:p w14:paraId="7D6E63F4" w14:textId="76EC50C7" w:rsidR="00BD2DED" w:rsidRPr="00BD2DED" w:rsidRDefault="00BD2DED" w:rsidP="001917F1">
      <w:pPr>
        <w:pStyle w:val="Pucedeparagraphe1"/>
      </w:pPr>
      <w:proofErr w:type="gramStart"/>
      <w:r w:rsidRPr="00BD2DED">
        <w:t>lot</w:t>
      </w:r>
      <w:proofErr w:type="gramEnd"/>
      <w:r w:rsidRPr="00BD2DED">
        <w:t xml:space="preserve"> n° 3 (matériel d’entretien) : </w:t>
      </w:r>
      <w:r w:rsidR="001917F1">
        <w:rPr>
          <w:szCs w:val="22"/>
        </w:rPr>
        <w:t>40 000</w:t>
      </w:r>
      <w:r w:rsidR="001917F1" w:rsidRPr="00FF39F2">
        <w:rPr>
          <w:szCs w:val="22"/>
        </w:rPr>
        <w:t xml:space="preserve"> euros toutes taxes comprises</w:t>
      </w:r>
      <w:r w:rsidRPr="00BD2DED">
        <w:t>.</w:t>
      </w:r>
    </w:p>
    <w:p w14:paraId="5E40F0DB" w14:textId="2717ED67" w:rsidR="00BD2DED" w:rsidRPr="00BD2DED" w:rsidRDefault="00BD2DED" w:rsidP="00C50BDF">
      <w:pPr>
        <w:pStyle w:val="1Article"/>
      </w:pPr>
      <w:bookmarkStart w:id="68" w:name="_Toc327459778"/>
      <w:bookmarkStart w:id="69" w:name="_Toc333566296"/>
      <w:bookmarkStart w:id="70" w:name="_Toc90473397"/>
      <w:bookmarkStart w:id="71" w:name="_Toc222388742"/>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BD2DED">
        <w:t>durée du marché</w:t>
      </w:r>
      <w:bookmarkEnd w:id="68"/>
      <w:bookmarkEnd w:id="69"/>
      <w:bookmarkEnd w:id="70"/>
      <w:bookmarkEnd w:id="71"/>
      <w:r w:rsidR="00790F07">
        <w:t xml:space="preserve"> </w:t>
      </w:r>
    </w:p>
    <w:p w14:paraId="7C64DD7E" w14:textId="1CAFA4D6" w:rsidR="00BD2DED" w:rsidRPr="00BD2DED" w:rsidRDefault="00BD2DED" w:rsidP="006A639C">
      <w:pPr>
        <w:pStyle w:val="Paragraphetexte"/>
      </w:pPr>
      <w:bookmarkStart w:id="72" w:name="_Toc327459779"/>
      <w:r w:rsidRPr="00BD2DED">
        <w:t>Le marché s’exécute</w:t>
      </w:r>
      <w:r w:rsidR="00E808A7">
        <w:t xml:space="preserve"> </w:t>
      </w:r>
      <w:r w:rsidRPr="00BD2DED">
        <w:rPr>
          <w:b/>
        </w:rPr>
        <w:t xml:space="preserve">à compter du </w:t>
      </w:r>
      <w:r w:rsidR="006A639C">
        <w:rPr>
          <w:b/>
        </w:rPr>
        <w:t xml:space="preserve">28 avril 2026 (date prévisionnelle) </w:t>
      </w:r>
      <w:r w:rsidRPr="00BD2DED">
        <w:t xml:space="preserve">ou, en cas de notification ultérieure, à la date de </w:t>
      </w:r>
      <w:r w:rsidR="00B64D2F">
        <w:t xml:space="preserve">ladite </w:t>
      </w:r>
      <w:r w:rsidRPr="00BD2DED">
        <w:t>notification.</w:t>
      </w:r>
    </w:p>
    <w:p w14:paraId="35CCB30D" w14:textId="77777777" w:rsidR="00BD2DED" w:rsidRPr="00BD2DED" w:rsidRDefault="00BD2DED" w:rsidP="006A639C">
      <w:pPr>
        <w:pStyle w:val="Paragraphetexte"/>
      </w:pPr>
      <w:r w:rsidRPr="00BD2DED">
        <w:t xml:space="preserve">Il est conclu pour une durée d’un an, reconductible tacitement trois fois pour une même durée, soit une durée totale maximale de quatre ans. </w:t>
      </w:r>
    </w:p>
    <w:p w14:paraId="08D5D917" w14:textId="6B47F7AB" w:rsidR="00BD2DED" w:rsidRDefault="00BD2DED" w:rsidP="006A639C">
      <w:pPr>
        <w:pStyle w:val="Paragraphetexte"/>
      </w:pPr>
      <w:r w:rsidRPr="00BD2DED">
        <w:t xml:space="preserve">En application de l’article R. 2112-4 du code de la commande publique, la reconduction est tacite. Le </w:t>
      </w:r>
      <w:r w:rsidR="00B64D2F">
        <w:t>Sénat</w:t>
      </w:r>
      <w:r w:rsidRPr="00BD2DED">
        <w:t xml:space="preserve"> peut décider de ne pas reconduire le marché à condition d’en informer, par lettre recommandée avec accusé de réception, le titulaire au moins trois mois avant la date de fin de la période concernée. Le titulaire ne peut pas s’opposer à la reconduction.</w:t>
      </w:r>
    </w:p>
    <w:p w14:paraId="67214190" w14:textId="722064AC" w:rsidR="008376E6" w:rsidRDefault="008376E6" w:rsidP="006A639C">
      <w:pPr>
        <w:pStyle w:val="Paragraphetexte"/>
      </w:pPr>
      <w:r>
        <w:t xml:space="preserve">Dans l’hypothèse où le plafond contractuel de commandes défini pour </w:t>
      </w:r>
      <w:r w:rsidR="00B64D2F">
        <w:t xml:space="preserve">l’un </w:t>
      </w:r>
      <w:r>
        <w:t xml:space="preserve">des lots serait atteint ou sur le point d’être atteint, le lot concerné serait alors résilié automatiquement et de plein droit, sans </w:t>
      </w:r>
      <w:r w:rsidR="00B64D2F">
        <w:t>indemnité pour le titulaire.</w:t>
      </w:r>
    </w:p>
    <w:p w14:paraId="5FC31703" w14:textId="23612E40" w:rsidR="00790F07" w:rsidRPr="00BD2DED" w:rsidRDefault="00790F07" w:rsidP="00790F07">
      <w:pPr>
        <w:pStyle w:val="Paragraphetexte"/>
      </w:pPr>
      <w:r>
        <w:lastRenderedPageBreak/>
        <w:t>Dans l’hypothèse où le marché s'achèverait sans qu’un nouveau marché ait pu entrer en vigueur, le titulaire de chaque lot serait tenu de continuer l’exécution du marché dans toutes ses conditions pour une durée qui ne pourrait excéder trois mois, sur simple ordre de service du directeur de la Logistique et des Moyens généraux.</w:t>
      </w:r>
    </w:p>
    <w:p w14:paraId="0EF5EC39" w14:textId="77777777" w:rsidR="00BD2DED" w:rsidRPr="00BD2DED" w:rsidRDefault="00BD2DED" w:rsidP="00C50BDF">
      <w:pPr>
        <w:pStyle w:val="1Article"/>
      </w:pPr>
      <w:bookmarkStart w:id="73" w:name="_Toc333566297"/>
      <w:bookmarkStart w:id="74" w:name="_Toc90473399"/>
      <w:bookmarkStart w:id="75" w:name="_Toc222388743"/>
      <w:r w:rsidRPr="00BD2DED">
        <w:t>pièces constitutives du marché</w:t>
      </w:r>
      <w:bookmarkEnd w:id="72"/>
      <w:bookmarkEnd w:id="73"/>
      <w:bookmarkEnd w:id="74"/>
      <w:bookmarkEnd w:id="75"/>
    </w:p>
    <w:p w14:paraId="0B740846" w14:textId="77777777" w:rsidR="00BD2DED" w:rsidRPr="00BD2DED" w:rsidRDefault="00BD2DED" w:rsidP="00B64D2F">
      <w:pPr>
        <w:pStyle w:val="Paragraphetexte"/>
      </w:pPr>
      <w:r w:rsidRPr="00BD2DED">
        <w:t>Par dérogation à l’article 4.1 du CCAG-FCS, les pièces constituant le marché sont, par priorité décroissante, les suivantes :</w:t>
      </w:r>
    </w:p>
    <w:p w14:paraId="7D6E166E" w14:textId="3F8E70E3" w:rsidR="00BD2DED" w:rsidRPr="00BD2DED" w:rsidRDefault="00BD2DED" w:rsidP="00C50BDF">
      <w:pPr>
        <w:pStyle w:val="Pucedeparagraphe1"/>
      </w:pPr>
      <w:proofErr w:type="gramStart"/>
      <w:r w:rsidRPr="00BD2DED">
        <w:t>l</w:t>
      </w:r>
      <w:r w:rsidR="00C50BDF">
        <w:t>’</w:t>
      </w:r>
      <w:r w:rsidRPr="00BD2DED">
        <w:t>acte</w:t>
      </w:r>
      <w:proofErr w:type="gramEnd"/>
      <w:r w:rsidRPr="00BD2DED">
        <w:t xml:space="preserve"> d’engagement et </w:t>
      </w:r>
      <w:r w:rsidR="00C50BDF">
        <w:t>le bordereau des prix unitaires (BPU)</w:t>
      </w:r>
      <w:r w:rsidRPr="00BD2DED">
        <w:t> ;</w:t>
      </w:r>
    </w:p>
    <w:p w14:paraId="035F723A" w14:textId="77777777" w:rsidR="00BD2DED" w:rsidRPr="00BD2DED" w:rsidRDefault="00BD2DED" w:rsidP="00C50BDF">
      <w:pPr>
        <w:pStyle w:val="Pucedeparagraphe1"/>
      </w:pPr>
      <w:proofErr w:type="gramStart"/>
      <w:r w:rsidRPr="00BD2DED">
        <w:t>le</w:t>
      </w:r>
      <w:proofErr w:type="gramEnd"/>
      <w:r w:rsidRPr="00BD2DED">
        <w:t xml:space="preserve"> cahier des clauses administratives particulières (CCAP) et son annexe ;</w:t>
      </w:r>
    </w:p>
    <w:p w14:paraId="7FADBCB6" w14:textId="77777777" w:rsidR="00BD2DED" w:rsidRPr="00BD2DED" w:rsidRDefault="00BD2DED" w:rsidP="00C50BDF">
      <w:pPr>
        <w:pStyle w:val="Pucedeparagraphe1"/>
      </w:pPr>
      <w:proofErr w:type="gramStart"/>
      <w:r w:rsidRPr="00BD2DED">
        <w:t>le</w:t>
      </w:r>
      <w:proofErr w:type="gramEnd"/>
      <w:r w:rsidRPr="00BD2DED">
        <w:t xml:space="preserve"> cahier des clauses techniques particulières (CCTP) et son annexe ;</w:t>
      </w:r>
    </w:p>
    <w:p w14:paraId="37C6A2D2" w14:textId="77777777" w:rsidR="00BD2DED" w:rsidRPr="00BD2DED" w:rsidRDefault="00BD2DED" w:rsidP="00C50BDF">
      <w:pPr>
        <w:pStyle w:val="Pucedeparagraphe1"/>
      </w:pPr>
      <w:proofErr w:type="gramStart"/>
      <w:r w:rsidRPr="00BD2DED">
        <w:t>le</w:t>
      </w:r>
      <w:proofErr w:type="gramEnd"/>
      <w:r w:rsidRPr="00BD2DED">
        <w:t xml:space="preserve"> cahier des clauses administratives générales applicable aux marchés de fournitures courantes et de services (CCAG-FCS) en vertu de l’arrêté du 30 mars 2021 portant approbation du cahier des clauses administratives générales des marchés publics de fournitures courantes et de services (JORF n° 0078 du 1</w:t>
      </w:r>
      <w:r w:rsidRPr="00BD2DED">
        <w:rPr>
          <w:vertAlign w:val="superscript"/>
        </w:rPr>
        <w:t>er</w:t>
      </w:r>
      <w:r w:rsidRPr="00BD2DED">
        <w:t xml:space="preserve"> avril 2021) ;</w:t>
      </w:r>
    </w:p>
    <w:p w14:paraId="4F830234" w14:textId="2F1F320F" w:rsidR="00B64D2F" w:rsidRPr="00BD2DED" w:rsidRDefault="00B64D2F" w:rsidP="00C50BDF">
      <w:pPr>
        <w:pStyle w:val="Pucedeparagraphe1"/>
      </w:pPr>
      <w:proofErr w:type="gramStart"/>
      <w:r w:rsidRPr="00BD2DED">
        <w:t>le</w:t>
      </w:r>
      <w:r w:rsidR="00BD44CA">
        <w:t>s</w:t>
      </w:r>
      <w:proofErr w:type="gramEnd"/>
      <w:r w:rsidR="00BD44CA">
        <w:t xml:space="preserve"> réponses du titulaire au</w:t>
      </w:r>
      <w:r w:rsidRPr="00BD2DED">
        <w:t xml:space="preserve"> cahier des réponses attendues (CRA) ; </w:t>
      </w:r>
    </w:p>
    <w:p w14:paraId="576E3920" w14:textId="7BAC5FB6" w:rsidR="00535C33" w:rsidRPr="00535C33" w:rsidRDefault="00BD2DED" w:rsidP="00C50BDF">
      <w:pPr>
        <w:pStyle w:val="Pucedeparagraphe1"/>
      </w:pPr>
      <w:proofErr w:type="gramStart"/>
      <w:r w:rsidRPr="00535C33">
        <w:t>le</w:t>
      </w:r>
      <w:proofErr w:type="gramEnd"/>
      <w:r w:rsidRPr="00535C33">
        <w:t xml:space="preserve"> catalogue </w:t>
      </w:r>
      <w:r w:rsidR="00535C33" w:rsidRPr="00535C33">
        <w:t xml:space="preserve">dématérialisé </w:t>
      </w:r>
      <w:r w:rsidRPr="00535C33">
        <w:t>du titulaire</w:t>
      </w:r>
      <w:r w:rsidR="00535C33" w:rsidRPr="00535C33">
        <w:t> ;</w:t>
      </w:r>
    </w:p>
    <w:p w14:paraId="594C092C" w14:textId="297E37E0" w:rsidR="00BD2DED" w:rsidRPr="00535C33" w:rsidDel="001135C6" w:rsidRDefault="00535C33" w:rsidP="00C50BDF">
      <w:pPr>
        <w:pStyle w:val="Pucedeparagraphe1"/>
      </w:pPr>
      <w:proofErr w:type="gramStart"/>
      <w:r w:rsidRPr="00535C33">
        <w:t>les</w:t>
      </w:r>
      <w:proofErr w:type="gramEnd"/>
      <w:r w:rsidRPr="00535C33">
        <w:t xml:space="preserve"> échantillons </w:t>
      </w:r>
      <w:r>
        <w:t xml:space="preserve">et les fiches techniques </w:t>
      </w:r>
      <w:r w:rsidRPr="00535C33">
        <w:t xml:space="preserve">fournis par le soumissionnaire </w:t>
      </w:r>
      <w:r>
        <w:t>à l’appui</w:t>
      </w:r>
      <w:r w:rsidRPr="00535C33">
        <w:t xml:space="preserve"> de son offre</w:t>
      </w:r>
      <w:r w:rsidR="00C50BDF" w:rsidRPr="00535C33">
        <w:t>.</w:t>
      </w:r>
    </w:p>
    <w:p w14:paraId="5508C8E1" w14:textId="32415FF9" w:rsidR="00BD2DED" w:rsidRPr="00C50BDF" w:rsidRDefault="00C50BDF" w:rsidP="00C50BDF">
      <w:pPr>
        <w:pStyle w:val="1Article"/>
      </w:pPr>
      <w:bookmarkStart w:id="76" w:name="_Toc327459780"/>
      <w:bookmarkStart w:id="77" w:name="_Toc333566298"/>
      <w:bookmarkStart w:id="78" w:name="_Toc90473400"/>
      <w:bookmarkStart w:id="79" w:name="_Toc222388744"/>
      <w:r>
        <w:t>Interlocuteurs des deux parties</w:t>
      </w:r>
      <w:bookmarkEnd w:id="76"/>
      <w:bookmarkEnd w:id="77"/>
      <w:bookmarkEnd w:id="78"/>
      <w:bookmarkEnd w:id="79"/>
      <w:r w:rsidR="00BD2DED" w:rsidRPr="00C50BDF">
        <w:t xml:space="preserve"> </w:t>
      </w:r>
    </w:p>
    <w:p w14:paraId="4D0F4F28" w14:textId="77777777" w:rsidR="00BD2DED" w:rsidRPr="00BD2DED" w:rsidRDefault="00BD2DED" w:rsidP="00C50BDF">
      <w:pPr>
        <w:pStyle w:val="Paragraphetexte"/>
        <w:rPr>
          <w:b/>
        </w:rPr>
      </w:pPr>
      <w:r w:rsidRPr="00BD2DED">
        <w:t>Pour le Sénat, le service responsable de la gestion du marché est la Direction de la Logistique et des Moyens généraux.</w:t>
      </w:r>
    </w:p>
    <w:p w14:paraId="5F5C8F31" w14:textId="77777777" w:rsidR="00BD2DED" w:rsidRPr="00BD2DED" w:rsidRDefault="00BD2DED" w:rsidP="00C50BDF">
      <w:pPr>
        <w:pStyle w:val="Encadrtexte"/>
        <w:jc w:val="center"/>
      </w:pPr>
      <w:r w:rsidRPr="00BD2DED">
        <w:t>Direction de la Logistique et des Moyens Généraux</w:t>
      </w:r>
    </w:p>
    <w:p w14:paraId="7CEE2696" w14:textId="063B38C5" w:rsidR="00BD2DED" w:rsidRPr="00BD2DED" w:rsidRDefault="00BD2DED" w:rsidP="00C50BDF">
      <w:pPr>
        <w:pStyle w:val="Encadrtexte"/>
        <w:jc w:val="center"/>
      </w:pPr>
      <w:r w:rsidRPr="00BD2DED">
        <w:t xml:space="preserve">M. </w:t>
      </w:r>
      <w:r w:rsidR="00C50BDF">
        <w:t xml:space="preserve">Gérald </w:t>
      </w:r>
      <w:proofErr w:type="spellStart"/>
      <w:r w:rsidR="00C50BDF">
        <w:t>Rivierre</w:t>
      </w:r>
      <w:proofErr w:type="spellEnd"/>
      <w:r w:rsidR="00C50BDF">
        <w:t xml:space="preserve"> ou M. Romuald </w:t>
      </w:r>
      <w:proofErr w:type="spellStart"/>
      <w:r w:rsidR="00C50BDF">
        <w:t>Mattéi</w:t>
      </w:r>
      <w:proofErr w:type="spellEnd"/>
    </w:p>
    <w:p w14:paraId="574B35E3" w14:textId="77777777" w:rsidR="00BD2DED" w:rsidRPr="00BD2DED" w:rsidRDefault="00BD2DED" w:rsidP="00C50BDF">
      <w:pPr>
        <w:pStyle w:val="Encadrtexte"/>
        <w:jc w:val="center"/>
      </w:pPr>
      <w:r w:rsidRPr="00BD2DED">
        <w:t>Téléphone : +33 (0)1 42 34 37 11</w:t>
      </w:r>
    </w:p>
    <w:p w14:paraId="7B5F26CB" w14:textId="77777777" w:rsidR="00BD2DED" w:rsidRPr="00BD2DED" w:rsidRDefault="00BD2DED" w:rsidP="00C50BDF">
      <w:pPr>
        <w:pStyle w:val="Encadrtexte"/>
        <w:jc w:val="center"/>
      </w:pPr>
      <w:r w:rsidRPr="00BD2DED">
        <w:t>Courriel : fournitures-lmg@senat.fr</w:t>
      </w:r>
    </w:p>
    <w:p w14:paraId="0C603814" w14:textId="77777777" w:rsidR="00BD2DED" w:rsidRPr="000F7E9A" w:rsidRDefault="00BD2DED" w:rsidP="000F7E9A">
      <w:pPr>
        <w:pStyle w:val="Paragraphetexte"/>
      </w:pPr>
      <w:r w:rsidRPr="000F7E9A">
        <w:t>Chaque titulaire mandate un responsable au sein de l’entreprise pour veiller à l’exécution du marché et être l’interlocuteur permanent de l’administration du Sénat. Ses coordonnées sont indiquées dans le cahier des réponses attendues (CRA). La ligne téléphonique dont les coordonnées sont indiquées ne doit pas faire l’objet d’une tarification surtaxée.</w:t>
      </w:r>
    </w:p>
    <w:p w14:paraId="62541455" w14:textId="77777777" w:rsidR="00BD2DED" w:rsidRPr="00BD2DED" w:rsidRDefault="00BD2DED" w:rsidP="00D52B32">
      <w:pPr>
        <w:pStyle w:val="1Article"/>
      </w:pPr>
      <w:bookmarkStart w:id="80" w:name="_Toc327459782"/>
      <w:bookmarkStart w:id="81" w:name="_Toc333566301"/>
      <w:bookmarkStart w:id="82" w:name="_Toc90473401"/>
      <w:bookmarkStart w:id="83" w:name="_Toc222388745"/>
      <w:r w:rsidRPr="00BD2DED">
        <w:t>prix du marché</w:t>
      </w:r>
      <w:bookmarkEnd w:id="80"/>
      <w:bookmarkEnd w:id="81"/>
      <w:bookmarkEnd w:id="82"/>
      <w:bookmarkEnd w:id="83"/>
    </w:p>
    <w:p w14:paraId="4E9CDC24" w14:textId="77777777" w:rsidR="00BD2DED" w:rsidRPr="00BD2DED" w:rsidRDefault="00BD2DED" w:rsidP="00D52B32">
      <w:pPr>
        <w:pStyle w:val="2Titre2-RC"/>
      </w:pPr>
      <w:bookmarkStart w:id="84" w:name="_Toc327459783"/>
      <w:bookmarkStart w:id="85" w:name="_Toc333566302"/>
      <w:bookmarkStart w:id="86" w:name="_Toc90473402"/>
      <w:bookmarkStart w:id="87" w:name="_Toc222388746"/>
      <w:r w:rsidRPr="00BD2DED">
        <w:t>Forme du prix</w:t>
      </w:r>
      <w:bookmarkEnd w:id="84"/>
      <w:bookmarkEnd w:id="85"/>
      <w:bookmarkEnd w:id="86"/>
      <w:bookmarkEnd w:id="87"/>
    </w:p>
    <w:p w14:paraId="72B6340E" w14:textId="77777777" w:rsidR="00BD2DED" w:rsidRPr="00D52B32" w:rsidRDefault="00BD2DED" w:rsidP="00D52B32">
      <w:pPr>
        <w:pStyle w:val="Paragraphetexte"/>
      </w:pPr>
      <w:r w:rsidRPr="00D52B32">
        <w:t>Le marché est conclu à prix unitaires.</w:t>
      </w:r>
    </w:p>
    <w:p w14:paraId="52F7FB44" w14:textId="77777777" w:rsidR="00BD2DED" w:rsidRPr="00D52B32" w:rsidRDefault="00BD2DED" w:rsidP="00D52B32">
      <w:pPr>
        <w:pStyle w:val="Paragraphetexte"/>
      </w:pPr>
      <w:r w:rsidRPr="00D52B32">
        <w:t>Les prix unitaires des articles figurant à l’annexe 2 des actes d’engagement (bordereau de prix unitaires) incluent le conditionnement et la livraison au Sénat.</w:t>
      </w:r>
    </w:p>
    <w:p w14:paraId="0E6F350D" w14:textId="35AED780" w:rsidR="00BD2DED" w:rsidRDefault="00BD2DED" w:rsidP="00D52B32">
      <w:pPr>
        <w:pStyle w:val="Paragraphetexte"/>
      </w:pPr>
      <w:r w:rsidRPr="00D52B32">
        <w:t>Pour une partie marginale des achats, il pourra être fait appel au catalogue du fournisseur pour des articles de même nature que ceux du lot intéressé. À ce titre, le prestataire indiquera, à l’article</w:t>
      </w:r>
      <w:r w:rsidR="00E61647">
        <w:t> </w:t>
      </w:r>
      <w:r w:rsidRPr="00D52B32">
        <w:t xml:space="preserve">6 des actes d’engagement, le taux de remise consenti sur le prix public pour cette partie </w:t>
      </w:r>
      <w:r w:rsidRPr="00D52B32">
        <w:lastRenderedPageBreak/>
        <w:t xml:space="preserve">du catalogue. En outre, le </w:t>
      </w:r>
      <w:r w:rsidR="00D52B32" w:rsidRPr="00D52B32">
        <w:t>Sénat</w:t>
      </w:r>
      <w:r w:rsidRPr="00D52B32">
        <w:t xml:space="preserve"> bénéficier</w:t>
      </w:r>
      <w:r w:rsidR="00D52B32" w:rsidRPr="00D52B32">
        <w:t>a</w:t>
      </w:r>
      <w:r w:rsidRPr="00D52B32">
        <w:t xml:space="preserve"> des promotions et offres commerciales proposées par le titulaire.</w:t>
      </w:r>
    </w:p>
    <w:p w14:paraId="5B52E2ED" w14:textId="1E13E6D8" w:rsidR="00BD2DED" w:rsidRPr="00BD2DED" w:rsidRDefault="00BD2DED" w:rsidP="000A59FB">
      <w:pPr>
        <w:pStyle w:val="2Titre2-RC"/>
      </w:pPr>
      <w:bookmarkStart w:id="88" w:name="_Toc231026692"/>
      <w:bookmarkStart w:id="89" w:name="_Toc236020543"/>
      <w:bookmarkStart w:id="90" w:name="_Toc242179735"/>
      <w:bookmarkStart w:id="91" w:name="_Toc327459784"/>
      <w:bookmarkStart w:id="92" w:name="_Toc333566303"/>
      <w:bookmarkStart w:id="93" w:name="_Toc90473403"/>
      <w:bookmarkStart w:id="94" w:name="_Toc222388747"/>
      <w:r w:rsidRPr="00BD2DED">
        <w:t>Modalités de révision d</w:t>
      </w:r>
      <w:r w:rsidR="00425291">
        <w:t>u</w:t>
      </w:r>
      <w:r w:rsidRPr="00BD2DED">
        <w:t xml:space="preserve"> prix</w:t>
      </w:r>
      <w:bookmarkEnd w:id="88"/>
      <w:bookmarkEnd w:id="89"/>
      <w:bookmarkEnd w:id="90"/>
      <w:bookmarkEnd w:id="91"/>
      <w:bookmarkEnd w:id="92"/>
      <w:bookmarkEnd w:id="93"/>
      <w:bookmarkEnd w:id="94"/>
    </w:p>
    <w:p w14:paraId="15D88893" w14:textId="77777777" w:rsidR="00BD2DED" w:rsidRPr="00BD2DED" w:rsidRDefault="00BD2DED" w:rsidP="000A59FB">
      <w:pPr>
        <w:pStyle w:val="Paragraphetexte"/>
      </w:pPr>
      <w:r w:rsidRPr="00BD2DED">
        <w:t xml:space="preserve">Les prix indiqués dans l’acte d’engagement (bordereau de prix unitaires) sont révisables. </w:t>
      </w:r>
    </w:p>
    <w:p w14:paraId="2EFC2726" w14:textId="6F00F7E0" w:rsidR="00BD2DED" w:rsidRPr="00BD2DED" w:rsidRDefault="000A59FB" w:rsidP="000A59FB">
      <w:pPr>
        <w:pStyle w:val="Paragraphetexte"/>
      </w:pPr>
      <w:r>
        <w:t>La révision est annuelle</w:t>
      </w:r>
      <w:r w:rsidR="00BD2DED" w:rsidRPr="00BD2DED">
        <w:t>.</w:t>
      </w:r>
      <w:r>
        <w:t xml:space="preserve"> Elle intervient à la date-anniversaire du marché ou au premier jour du mois suivant la date-anniversaire du marché si cette date n’intervient pas le 1</w:t>
      </w:r>
      <w:r w:rsidRPr="000A59FB">
        <w:rPr>
          <w:vertAlign w:val="superscript"/>
        </w:rPr>
        <w:t>er</w:t>
      </w:r>
      <w:r>
        <w:t xml:space="preserve"> du mois.</w:t>
      </w:r>
    </w:p>
    <w:p w14:paraId="1A76BC0B" w14:textId="7BBA338E" w:rsidR="00BD2DED" w:rsidRPr="00BD2DED" w:rsidRDefault="000A59FB" w:rsidP="000A59FB">
      <w:pPr>
        <w:pStyle w:val="Paragraphetexte"/>
      </w:pPr>
      <w:r>
        <w:t>Cette révision pourra intervenir</w:t>
      </w:r>
      <w:r w:rsidR="00BD2DED" w:rsidRPr="00BD2DED">
        <w:t xml:space="preserve"> à la hausse comme à la baisse.</w:t>
      </w:r>
    </w:p>
    <w:p w14:paraId="2265DB41" w14:textId="09B6C0F7" w:rsidR="00827D57" w:rsidRDefault="00BD2DED" w:rsidP="00827D57">
      <w:pPr>
        <w:pStyle w:val="Paragraphetexte"/>
      </w:pPr>
      <w:r w:rsidRPr="00BD2DED">
        <w:t xml:space="preserve">La révision des prix est à l’initiative du titulaire. </w:t>
      </w:r>
      <w:bookmarkStart w:id="95" w:name="_Toc90473404"/>
      <w:r w:rsidR="00827D57" w:rsidRPr="00827D57">
        <w:t xml:space="preserve">Il lui revient de demander la mise en </w:t>
      </w:r>
      <w:r w:rsidR="00535C33" w:rsidRPr="00827D57">
        <w:t>œuvre</w:t>
      </w:r>
      <w:r w:rsidR="00827D57" w:rsidRPr="00827D57">
        <w:t xml:space="preserve"> de la clause de révision du prix et de procéder lui-même au calcul de la formule de révision, avec justifications à l’appui. Il devra à cette fin envoyer à la </w:t>
      </w:r>
      <w:r w:rsidR="00535C33">
        <w:t>d</w:t>
      </w:r>
      <w:r w:rsidR="00827D57" w:rsidRPr="00827D57">
        <w:t xml:space="preserve">irection de la Logistique et des Moyens généraux sa proposition au moins quinze jours avant la date de révision fixée par le présent article. À défaut, le Sénat se réserve la faculté, le cas échéant et à son appréciation, de procéder d’office à la mise en </w:t>
      </w:r>
      <w:r w:rsidR="00535C33" w:rsidRPr="00827D57">
        <w:t>œuvre</w:t>
      </w:r>
      <w:r w:rsidR="00827D57" w:rsidRPr="00827D57">
        <w:t xml:space="preserve"> et au calcul de la formule de révision.</w:t>
      </w:r>
    </w:p>
    <w:p w14:paraId="414A5F9F" w14:textId="4BF2BD2D" w:rsidR="00613D5E" w:rsidRPr="00BD2DED" w:rsidRDefault="00613D5E" w:rsidP="00827D57">
      <w:pPr>
        <w:pStyle w:val="Pucedeparagraphe1"/>
      </w:pPr>
      <w:bookmarkStart w:id="96" w:name="_Hlk221555268"/>
      <w:bookmarkEnd w:id="95"/>
      <w:r w:rsidRPr="00613D5E">
        <w:rPr>
          <w:b/>
          <w:bCs/>
          <w:u w:val="single"/>
        </w:rPr>
        <w:t>Pour le lot n° 1</w:t>
      </w:r>
      <w:r>
        <w:t>, la révision sera effectuée à partir de la formule suivante :</w:t>
      </w:r>
    </w:p>
    <w:p w14:paraId="7B1860F8" w14:textId="6CCF70B8" w:rsidR="00BD2DED" w:rsidRPr="00BD2DED" w:rsidRDefault="00BD2DED" w:rsidP="001B1DE3">
      <w:pPr>
        <w:pStyle w:val="Paragraphetexte"/>
        <w:rPr>
          <w:noProof/>
          <w:lang w:val="pl-PL"/>
        </w:rPr>
      </w:pPr>
      <w:r w:rsidRPr="00BD2DED">
        <w:rPr>
          <w:noProof/>
          <w:lang w:val="pl-PL"/>
        </w:rPr>
        <w:t>P = P</w:t>
      </w:r>
      <w:r w:rsidRPr="00BD2DED">
        <w:rPr>
          <w:noProof/>
          <w:vertAlign w:val="subscript"/>
          <w:lang w:val="pl-PL"/>
        </w:rPr>
        <w:t>o</w:t>
      </w:r>
      <w:r w:rsidRPr="00BD2DED">
        <w:rPr>
          <w:noProof/>
          <w:lang w:val="pl-PL"/>
        </w:rPr>
        <w:t xml:space="preserve"> x (0,</w:t>
      </w:r>
      <w:r w:rsidR="00613D5E">
        <w:rPr>
          <w:noProof/>
          <w:lang w:val="pl-PL"/>
        </w:rPr>
        <w:t>5</w:t>
      </w:r>
      <w:r w:rsidRPr="00BD2DED">
        <w:rPr>
          <w:noProof/>
          <w:lang w:val="pl-PL"/>
        </w:rPr>
        <w:t xml:space="preserve">0 </w:t>
      </w:r>
      <w:r w:rsidR="00613D5E">
        <w:rPr>
          <w:noProof/>
          <w:u w:val="single"/>
          <w:lang w:val="pl-PL"/>
        </w:rPr>
        <w:t>X</w:t>
      </w:r>
      <w:r w:rsidRPr="00BD2DED">
        <w:rPr>
          <w:noProof/>
          <w:vertAlign w:val="subscript"/>
          <w:lang w:val="pl-PL"/>
        </w:rPr>
        <w:t>n</w:t>
      </w:r>
      <w:r w:rsidRPr="00BD2DED">
        <w:rPr>
          <w:noProof/>
          <w:lang w:val="pl-PL"/>
        </w:rPr>
        <w:t xml:space="preserve"> + 0,</w:t>
      </w:r>
      <w:r w:rsidR="00613D5E">
        <w:rPr>
          <w:noProof/>
          <w:lang w:val="pl-PL"/>
        </w:rPr>
        <w:t>5</w:t>
      </w:r>
      <w:r w:rsidRPr="00BD2DED">
        <w:rPr>
          <w:noProof/>
          <w:lang w:val="pl-PL"/>
        </w:rPr>
        <w:t xml:space="preserve">0 </w:t>
      </w:r>
      <w:r w:rsidR="00613D5E">
        <w:rPr>
          <w:noProof/>
          <w:u w:val="single"/>
          <w:lang w:val="pl-PL"/>
        </w:rPr>
        <w:t>Y</w:t>
      </w:r>
      <w:r w:rsidRPr="00BD2DED">
        <w:rPr>
          <w:noProof/>
          <w:vertAlign w:val="subscript"/>
          <w:lang w:val="pl-PL"/>
        </w:rPr>
        <w:t>n</w:t>
      </w:r>
      <w:r w:rsidRPr="00BD2DED">
        <w:rPr>
          <w:noProof/>
          <w:lang w:val="pl-PL"/>
        </w:rPr>
        <w:t xml:space="preserve"> )</w:t>
      </w:r>
      <w:r w:rsidRPr="00BD2DED">
        <w:rPr>
          <w:noProof/>
          <w:u w:val="single"/>
          <w:lang w:val="pl-PL"/>
        </w:rPr>
        <w:t xml:space="preserve"> </w:t>
      </w:r>
      <w:r w:rsidRPr="00BD2DED">
        <w:rPr>
          <w:noProof/>
          <w:lang w:val="pl-PL"/>
        </w:rPr>
        <w:t xml:space="preserve"> </w:t>
      </w:r>
    </w:p>
    <w:p w14:paraId="714D0905" w14:textId="1F10E471" w:rsidR="00BD2DED" w:rsidRPr="00E518F5" w:rsidRDefault="00BD2DED" w:rsidP="001B1DE3">
      <w:pPr>
        <w:pStyle w:val="Paragraphetexte"/>
        <w:rPr>
          <w:noProof/>
          <w:lang w:val="es-CO"/>
        </w:rPr>
      </w:pPr>
      <w:r w:rsidRPr="00BD2DED">
        <w:rPr>
          <w:noProof/>
          <w:lang w:val="pl-PL"/>
        </w:rPr>
        <w:t xml:space="preserve">                        </w:t>
      </w:r>
      <w:r w:rsidR="00613D5E" w:rsidRPr="00E518F5">
        <w:rPr>
          <w:noProof/>
          <w:lang w:val="es-CO"/>
        </w:rPr>
        <w:t>X</w:t>
      </w:r>
      <w:r w:rsidRPr="00E518F5">
        <w:rPr>
          <w:noProof/>
          <w:vertAlign w:val="subscript"/>
          <w:lang w:val="es-CO"/>
        </w:rPr>
        <w:t>o</w:t>
      </w:r>
      <w:r w:rsidRPr="00E518F5">
        <w:rPr>
          <w:noProof/>
          <w:lang w:val="es-CO"/>
        </w:rPr>
        <w:t xml:space="preserve">            </w:t>
      </w:r>
      <w:r w:rsidR="00613D5E" w:rsidRPr="00E518F5">
        <w:rPr>
          <w:noProof/>
          <w:lang w:val="es-CO"/>
        </w:rPr>
        <w:t>Y</w:t>
      </w:r>
      <w:r w:rsidRPr="00E518F5">
        <w:rPr>
          <w:noProof/>
          <w:vertAlign w:val="subscript"/>
          <w:lang w:val="es-CO"/>
        </w:rPr>
        <w:t>o</w:t>
      </w:r>
    </w:p>
    <w:p w14:paraId="335FF9A1" w14:textId="77777777" w:rsidR="00BD2DED" w:rsidRPr="008511A9" w:rsidRDefault="00BD2DED" w:rsidP="001B1DE3">
      <w:pPr>
        <w:pStyle w:val="Paragraphetexte"/>
        <w:rPr>
          <w:szCs w:val="22"/>
        </w:rPr>
      </w:pPr>
      <w:proofErr w:type="gramStart"/>
      <w:r w:rsidRPr="008511A9">
        <w:rPr>
          <w:szCs w:val="22"/>
        </w:rPr>
        <w:t>dans</w:t>
      </w:r>
      <w:proofErr w:type="gramEnd"/>
      <w:r w:rsidRPr="008511A9">
        <w:rPr>
          <w:szCs w:val="22"/>
        </w:rPr>
        <w:t xml:space="preserve"> laquelle :</w:t>
      </w:r>
    </w:p>
    <w:p w14:paraId="03F8763A" w14:textId="77777777" w:rsidR="00BD2DED" w:rsidRPr="00E518F5" w:rsidRDefault="00BD2DED" w:rsidP="001B1DE3">
      <w:pPr>
        <w:pStyle w:val="Paragraphetexte"/>
        <w:rPr>
          <w:szCs w:val="22"/>
        </w:rPr>
      </w:pPr>
      <w:r w:rsidRPr="00E518F5">
        <w:rPr>
          <w:szCs w:val="22"/>
        </w:rPr>
        <w:t xml:space="preserve">P = le prix révisé </w:t>
      </w:r>
    </w:p>
    <w:p w14:paraId="6DDC2F49" w14:textId="79BBEDE2" w:rsidR="00BD2DED" w:rsidRPr="00E518F5" w:rsidRDefault="00BD2DED" w:rsidP="001B1DE3">
      <w:pPr>
        <w:pStyle w:val="Paragraphetexte"/>
        <w:rPr>
          <w:noProof/>
          <w:szCs w:val="22"/>
        </w:rPr>
      </w:pPr>
      <w:r w:rsidRPr="00E518F5">
        <w:rPr>
          <w:noProof/>
          <w:szCs w:val="22"/>
        </w:rPr>
        <w:t>P</w:t>
      </w:r>
      <w:r w:rsidRPr="00E518F5">
        <w:rPr>
          <w:noProof/>
          <w:szCs w:val="22"/>
          <w:vertAlign w:val="subscript"/>
        </w:rPr>
        <w:t>o</w:t>
      </w:r>
      <w:r w:rsidRPr="00E518F5">
        <w:rPr>
          <w:noProof/>
          <w:szCs w:val="22"/>
        </w:rPr>
        <w:t xml:space="preserve"> : prix indiqués dans </w:t>
      </w:r>
      <w:r w:rsidR="00613D5E" w:rsidRPr="00E518F5">
        <w:rPr>
          <w:noProof/>
          <w:szCs w:val="22"/>
        </w:rPr>
        <w:t>le bordereau des prix unitaires</w:t>
      </w:r>
      <w:r w:rsidRPr="00E518F5">
        <w:rPr>
          <w:noProof/>
          <w:szCs w:val="22"/>
        </w:rPr>
        <w:t>.</w:t>
      </w:r>
      <w:bookmarkStart w:id="97" w:name="_Toc360813190"/>
      <w:bookmarkStart w:id="98" w:name="_Toc361146666"/>
      <w:bookmarkStart w:id="99" w:name="_Toc361146746"/>
      <w:bookmarkStart w:id="100" w:name="_Toc361146816"/>
      <w:bookmarkStart w:id="101" w:name="_Toc361146974"/>
      <w:bookmarkStart w:id="102" w:name="_Toc361147060"/>
      <w:bookmarkStart w:id="103" w:name="_Toc361147117"/>
      <w:bookmarkStart w:id="104" w:name="_Toc361147200"/>
      <w:bookmarkStart w:id="105" w:name="_Toc361753723"/>
      <w:bookmarkStart w:id="106" w:name="_Toc361755275"/>
      <w:bookmarkStart w:id="107" w:name="_Toc362516546"/>
      <w:bookmarkStart w:id="108" w:name="_Toc362516690"/>
    </w:p>
    <w:p w14:paraId="330F07C5" w14:textId="6003BFA9" w:rsidR="00BD2DED" w:rsidRPr="00E518F5" w:rsidRDefault="00613D5E" w:rsidP="001B1DE3">
      <w:pPr>
        <w:pStyle w:val="Paragraphetexte"/>
        <w:rPr>
          <w:rFonts w:ascii="Geneva" w:hAnsi="Geneva"/>
          <w:noProof/>
          <w:szCs w:val="22"/>
        </w:rPr>
      </w:pPr>
      <w:r w:rsidRPr="00E518F5">
        <w:rPr>
          <w:noProof/>
          <w:szCs w:val="22"/>
        </w:rPr>
        <w:t>X</w:t>
      </w:r>
      <w:r w:rsidR="00BD2DED" w:rsidRPr="00E518F5">
        <w:rPr>
          <w:noProof/>
          <w:szCs w:val="22"/>
        </w:rPr>
        <w:t xml:space="preserve"> : </w:t>
      </w:r>
      <w:r w:rsidRPr="00E518F5">
        <w:rPr>
          <w:szCs w:val="22"/>
          <w:shd w:val="clear" w:color="auto" w:fill="F7F7F7"/>
        </w:rPr>
        <w:t>Indice de prix de production de l'industrie française pour le marché français − CPF 17.22 − Articles en papier à usage sanitaire ou domestique 010764127</w:t>
      </w:r>
      <w:r w:rsidR="00BD2DED" w:rsidRPr="00E518F5">
        <w:rPr>
          <w:noProof/>
          <w:szCs w:val="22"/>
        </w:rPr>
        <w:t>.</w:t>
      </w:r>
      <w:bookmarkStart w:id="109" w:name="_Toc360813191"/>
      <w:bookmarkStart w:id="110" w:name="_Toc361146667"/>
      <w:bookmarkStart w:id="111" w:name="_Toc361146747"/>
      <w:bookmarkStart w:id="112" w:name="_Toc361146817"/>
      <w:bookmarkStart w:id="113" w:name="_Toc361146975"/>
      <w:bookmarkStart w:id="114" w:name="_Toc361147061"/>
      <w:bookmarkStart w:id="115" w:name="_Toc361147118"/>
      <w:bookmarkStart w:id="116" w:name="_Toc361147201"/>
      <w:bookmarkStart w:id="117" w:name="_Toc361753724"/>
      <w:bookmarkStart w:id="118" w:name="_Toc361755276"/>
      <w:bookmarkStart w:id="119" w:name="_Toc362516547"/>
      <w:bookmarkStart w:id="120" w:name="_Toc362516691"/>
      <w:bookmarkEnd w:id="97"/>
      <w:bookmarkEnd w:id="98"/>
      <w:bookmarkEnd w:id="99"/>
      <w:bookmarkEnd w:id="100"/>
      <w:bookmarkEnd w:id="101"/>
      <w:bookmarkEnd w:id="102"/>
      <w:bookmarkEnd w:id="103"/>
      <w:bookmarkEnd w:id="104"/>
      <w:bookmarkEnd w:id="105"/>
      <w:bookmarkEnd w:id="106"/>
      <w:bookmarkEnd w:id="107"/>
      <w:bookmarkEnd w:id="108"/>
    </w:p>
    <w:bookmarkEnd w:id="109"/>
    <w:bookmarkEnd w:id="110"/>
    <w:bookmarkEnd w:id="111"/>
    <w:bookmarkEnd w:id="112"/>
    <w:bookmarkEnd w:id="113"/>
    <w:bookmarkEnd w:id="114"/>
    <w:bookmarkEnd w:id="115"/>
    <w:bookmarkEnd w:id="116"/>
    <w:bookmarkEnd w:id="117"/>
    <w:bookmarkEnd w:id="118"/>
    <w:bookmarkEnd w:id="119"/>
    <w:bookmarkEnd w:id="120"/>
    <w:p w14:paraId="62A9DAF8" w14:textId="565ED2AC" w:rsidR="00BD2DED" w:rsidRPr="00E518F5" w:rsidRDefault="00613D5E" w:rsidP="001B1DE3">
      <w:pPr>
        <w:pStyle w:val="Paragraphetexte"/>
        <w:rPr>
          <w:szCs w:val="22"/>
        </w:rPr>
      </w:pPr>
      <w:proofErr w:type="spellStart"/>
      <w:r w:rsidRPr="008511A9">
        <w:rPr>
          <w:szCs w:val="22"/>
        </w:rPr>
        <w:t>X</w:t>
      </w:r>
      <w:r w:rsidR="00BD2DED" w:rsidRPr="008511A9">
        <w:rPr>
          <w:szCs w:val="22"/>
          <w:vertAlign w:val="subscript"/>
        </w:rPr>
        <w:t>o</w:t>
      </w:r>
      <w:proofErr w:type="spellEnd"/>
      <w:r w:rsidR="00BD2DED" w:rsidRPr="00E518F5">
        <w:rPr>
          <w:szCs w:val="22"/>
        </w:rPr>
        <w:t xml:space="preserve"> correspond à la dernière valeur publiée de cet indice au mois de remise des offres (</w:t>
      </w:r>
      <w:r w:rsidRPr="00E518F5">
        <w:rPr>
          <w:szCs w:val="22"/>
        </w:rPr>
        <w:t>mars 2026</w:t>
      </w:r>
      <w:r w:rsidR="00BD2DED" w:rsidRPr="00E518F5">
        <w:rPr>
          <w:szCs w:val="22"/>
        </w:rPr>
        <w:t xml:space="preserve">) ; </w:t>
      </w:r>
    </w:p>
    <w:p w14:paraId="29424419" w14:textId="76B2787A" w:rsidR="00BD2DED" w:rsidRPr="00E518F5" w:rsidRDefault="00613D5E" w:rsidP="001B1DE3">
      <w:pPr>
        <w:pStyle w:val="Paragraphetexte"/>
        <w:rPr>
          <w:szCs w:val="22"/>
        </w:rPr>
      </w:pPr>
      <w:proofErr w:type="spellStart"/>
      <w:r w:rsidRPr="00E518F5">
        <w:rPr>
          <w:szCs w:val="22"/>
        </w:rPr>
        <w:t>X</w:t>
      </w:r>
      <w:r w:rsidR="00BD2DED" w:rsidRPr="00E518F5">
        <w:rPr>
          <w:szCs w:val="22"/>
          <w:vertAlign w:val="subscript"/>
        </w:rPr>
        <w:t>n</w:t>
      </w:r>
      <w:proofErr w:type="spellEnd"/>
      <w:r w:rsidR="00BD2DED" w:rsidRPr="00E518F5">
        <w:rPr>
          <w:szCs w:val="22"/>
        </w:rPr>
        <w:t xml:space="preserve"> correspond à la dernière valeur publiée de cet indice au cours du mois précéd</w:t>
      </w:r>
      <w:r w:rsidR="00226063">
        <w:rPr>
          <w:szCs w:val="22"/>
        </w:rPr>
        <w:t>a</w:t>
      </w:r>
      <w:r w:rsidR="00BD2DED" w:rsidRPr="00E518F5">
        <w:rPr>
          <w:szCs w:val="22"/>
        </w:rPr>
        <w:t>nt l’intervention de la révision.</w:t>
      </w:r>
    </w:p>
    <w:p w14:paraId="6E3B2B0D" w14:textId="044E81A6" w:rsidR="00BD2DED" w:rsidRPr="00E518F5" w:rsidRDefault="00613D5E" w:rsidP="001B1DE3">
      <w:pPr>
        <w:pStyle w:val="Paragraphetexte"/>
        <w:rPr>
          <w:noProof/>
          <w:szCs w:val="22"/>
        </w:rPr>
      </w:pPr>
      <w:r w:rsidRPr="00E518F5">
        <w:rPr>
          <w:noProof/>
          <w:szCs w:val="22"/>
        </w:rPr>
        <w:t>Y</w:t>
      </w:r>
      <w:r w:rsidR="00BD2DED" w:rsidRPr="00E518F5">
        <w:rPr>
          <w:noProof/>
          <w:szCs w:val="22"/>
        </w:rPr>
        <w:t xml:space="preserve"> : </w:t>
      </w:r>
      <w:r w:rsidRPr="00E518F5">
        <w:rPr>
          <w:szCs w:val="22"/>
          <w:shd w:val="clear" w:color="auto" w:fill="F7F7F7"/>
        </w:rPr>
        <w:t>Indice de prix de production de l'industrie française pour le marché français − CPF 22.22 − Emballages en matières plastiques 010764161</w:t>
      </w:r>
      <w:r w:rsidR="00BD2DED" w:rsidRPr="00E518F5">
        <w:rPr>
          <w:noProof/>
          <w:szCs w:val="22"/>
        </w:rPr>
        <w:t>.</w:t>
      </w:r>
    </w:p>
    <w:p w14:paraId="6EEF85DC" w14:textId="4A0C3EC0" w:rsidR="00BD2DED" w:rsidRPr="00E518F5" w:rsidRDefault="00613D5E" w:rsidP="001B1DE3">
      <w:pPr>
        <w:pStyle w:val="Paragraphetexte"/>
        <w:rPr>
          <w:szCs w:val="22"/>
        </w:rPr>
      </w:pPr>
      <w:r w:rsidRPr="00E518F5">
        <w:rPr>
          <w:szCs w:val="22"/>
        </w:rPr>
        <w:t>Y</w:t>
      </w:r>
      <w:r w:rsidR="00BD2DED" w:rsidRPr="00E518F5">
        <w:rPr>
          <w:szCs w:val="22"/>
          <w:vertAlign w:val="subscript"/>
        </w:rPr>
        <w:t>o</w:t>
      </w:r>
      <w:r w:rsidR="00BD2DED" w:rsidRPr="00E518F5">
        <w:rPr>
          <w:szCs w:val="22"/>
        </w:rPr>
        <w:t xml:space="preserve"> correspond à la dernière valeur publiée de cet indice au mois de remise des offres (</w:t>
      </w:r>
      <w:r w:rsidRPr="00E518F5">
        <w:rPr>
          <w:szCs w:val="22"/>
        </w:rPr>
        <w:t>mars 2026</w:t>
      </w:r>
      <w:r w:rsidR="00BD2DED" w:rsidRPr="00E518F5">
        <w:rPr>
          <w:szCs w:val="22"/>
        </w:rPr>
        <w:t xml:space="preserve">) ; </w:t>
      </w:r>
    </w:p>
    <w:p w14:paraId="75EF37BD" w14:textId="49C0A153" w:rsidR="00BD2DED" w:rsidRPr="00E518F5" w:rsidRDefault="00613D5E" w:rsidP="001B1DE3">
      <w:pPr>
        <w:pStyle w:val="Paragraphetexte"/>
        <w:rPr>
          <w:szCs w:val="22"/>
        </w:rPr>
      </w:pPr>
      <w:proofErr w:type="spellStart"/>
      <w:r w:rsidRPr="00E518F5">
        <w:rPr>
          <w:szCs w:val="22"/>
        </w:rPr>
        <w:t>Y</w:t>
      </w:r>
      <w:r w:rsidR="00BD2DED" w:rsidRPr="00E518F5">
        <w:rPr>
          <w:szCs w:val="22"/>
          <w:vertAlign w:val="subscript"/>
        </w:rPr>
        <w:t>n</w:t>
      </w:r>
      <w:proofErr w:type="spellEnd"/>
      <w:r w:rsidR="00BD2DED" w:rsidRPr="00E518F5">
        <w:rPr>
          <w:szCs w:val="22"/>
        </w:rPr>
        <w:t xml:space="preserve"> correspond à la dernière valeur publiée de cet indice au cours du mois précéd</w:t>
      </w:r>
      <w:r w:rsidR="00226063">
        <w:rPr>
          <w:szCs w:val="22"/>
        </w:rPr>
        <w:t>a</w:t>
      </w:r>
      <w:r w:rsidR="00BD2DED" w:rsidRPr="00E518F5">
        <w:rPr>
          <w:szCs w:val="22"/>
        </w:rPr>
        <w:t>nt l’intervention de la révision.</w:t>
      </w:r>
    </w:p>
    <w:p w14:paraId="55DA2DF6" w14:textId="248827B2" w:rsidR="00613D5E" w:rsidRPr="00E518F5" w:rsidRDefault="00613D5E" w:rsidP="001B1DE3">
      <w:pPr>
        <w:pStyle w:val="Pucedeparagraphe1"/>
        <w:rPr>
          <w:szCs w:val="22"/>
        </w:rPr>
      </w:pPr>
      <w:bookmarkStart w:id="121" w:name="_Hlk221555364"/>
      <w:bookmarkStart w:id="122" w:name="_Toc327459785"/>
      <w:bookmarkStart w:id="123" w:name="_Toc333566304"/>
      <w:bookmarkEnd w:id="96"/>
      <w:r w:rsidRPr="00E518F5">
        <w:rPr>
          <w:b/>
          <w:bCs/>
          <w:szCs w:val="22"/>
          <w:u w:val="single"/>
        </w:rPr>
        <w:t>Pour le lot n° 2</w:t>
      </w:r>
      <w:r w:rsidRPr="00E518F5">
        <w:rPr>
          <w:szCs w:val="22"/>
        </w:rPr>
        <w:t>, la révision sera effectuée à partir de la formule suivante :</w:t>
      </w:r>
    </w:p>
    <w:p w14:paraId="2E220FAF" w14:textId="77777777" w:rsidR="00613D5E" w:rsidRPr="00E518F5" w:rsidRDefault="00613D5E" w:rsidP="001B1DE3">
      <w:pPr>
        <w:pStyle w:val="Paragraphetexte"/>
        <w:rPr>
          <w:noProof/>
          <w:szCs w:val="22"/>
          <w:lang w:val="pl-PL"/>
        </w:rPr>
      </w:pPr>
      <w:r w:rsidRPr="00E518F5">
        <w:rPr>
          <w:noProof/>
          <w:szCs w:val="22"/>
          <w:lang w:val="pl-PL"/>
        </w:rPr>
        <w:t>P = P</w:t>
      </w:r>
      <w:r w:rsidRPr="00E518F5">
        <w:rPr>
          <w:noProof/>
          <w:szCs w:val="22"/>
          <w:vertAlign w:val="subscript"/>
          <w:lang w:val="pl-PL"/>
        </w:rPr>
        <w:t>o</w:t>
      </w:r>
      <w:r w:rsidRPr="00E518F5">
        <w:rPr>
          <w:noProof/>
          <w:szCs w:val="22"/>
          <w:lang w:val="pl-PL"/>
        </w:rPr>
        <w:t xml:space="preserve"> x (0,50 </w:t>
      </w:r>
      <w:r w:rsidRPr="00E518F5">
        <w:rPr>
          <w:noProof/>
          <w:szCs w:val="22"/>
          <w:u w:val="single"/>
          <w:lang w:val="pl-PL"/>
        </w:rPr>
        <w:t>X</w:t>
      </w:r>
      <w:r w:rsidRPr="00E518F5">
        <w:rPr>
          <w:noProof/>
          <w:szCs w:val="22"/>
          <w:vertAlign w:val="subscript"/>
          <w:lang w:val="pl-PL"/>
        </w:rPr>
        <w:t>n</w:t>
      </w:r>
      <w:r w:rsidRPr="00E518F5">
        <w:rPr>
          <w:noProof/>
          <w:szCs w:val="22"/>
          <w:lang w:val="pl-PL"/>
        </w:rPr>
        <w:t xml:space="preserve"> + 0,50 </w:t>
      </w:r>
      <w:r w:rsidRPr="00E518F5">
        <w:rPr>
          <w:noProof/>
          <w:szCs w:val="22"/>
          <w:u w:val="single"/>
          <w:lang w:val="pl-PL"/>
        </w:rPr>
        <w:t>Y</w:t>
      </w:r>
      <w:r w:rsidRPr="00E518F5">
        <w:rPr>
          <w:noProof/>
          <w:szCs w:val="22"/>
          <w:vertAlign w:val="subscript"/>
          <w:lang w:val="pl-PL"/>
        </w:rPr>
        <w:t>n</w:t>
      </w:r>
      <w:r w:rsidRPr="00E518F5">
        <w:rPr>
          <w:noProof/>
          <w:szCs w:val="22"/>
          <w:lang w:val="pl-PL"/>
        </w:rPr>
        <w:t xml:space="preserve"> )</w:t>
      </w:r>
      <w:r w:rsidRPr="00E518F5">
        <w:rPr>
          <w:noProof/>
          <w:szCs w:val="22"/>
          <w:u w:val="single"/>
          <w:lang w:val="pl-PL"/>
        </w:rPr>
        <w:t xml:space="preserve"> </w:t>
      </w:r>
      <w:r w:rsidRPr="00E518F5">
        <w:rPr>
          <w:noProof/>
          <w:szCs w:val="22"/>
          <w:lang w:val="pl-PL"/>
        </w:rPr>
        <w:t xml:space="preserve"> </w:t>
      </w:r>
    </w:p>
    <w:p w14:paraId="6BC073D4" w14:textId="77777777" w:rsidR="00613D5E" w:rsidRPr="00E518F5" w:rsidRDefault="00613D5E" w:rsidP="001B1DE3">
      <w:pPr>
        <w:pStyle w:val="Paragraphetexte"/>
        <w:rPr>
          <w:noProof/>
          <w:szCs w:val="22"/>
          <w:lang w:val="es-CO"/>
        </w:rPr>
      </w:pPr>
      <w:r w:rsidRPr="00E518F5">
        <w:rPr>
          <w:noProof/>
          <w:szCs w:val="22"/>
          <w:lang w:val="pl-PL"/>
        </w:rPr>
        <w:t xml:space="preserve">                        </w:t>
      </w:r>
      <w:r w:rsidRPr="00E518F5">
        <w:rPr>
          <w:noProof/>
          <w:szCs w:val="22"/>
          <w:lang w:val="es-CO"/>
        </w:rPr>
        <w:t>X</w:t>
      </w:r>
      <w:r w:rsidRPr="00E518F5">
        <w:rPr>
          <w:noProof/>
          <w:szCs w:val="22"/>
          <w:vertAlign w:val="subscript"/>
          <w:lang w:val="es-CO"/>
        </w:rPr>
        <w:t>o</w:t>
      </w:r>
      <w:r w:rsidRPr="00E518F5">
        <w:rPr>
          <w:noProof/>
          <w:szCs w:val="22"/>
          <w:lang w:val="es-CO"/>
        </w:rPr>
        <w:t xml:space="preserve">            Y</w:t>
      </w:r>
      <w:r w:rsidRPr="00E518F5">
        <w:rPr>
          <w:noProof/>
          <w:szCs w:val="22"/>
          <w:vertAlign w:val="subscript"/>
          <w:lang w:val="es-CO"/>
        </w:rPr>
        <w:t>o</w:t>
      </w:r>
    </w:p>
    <w:p w14:paraId="51288240" w14:textId="77777777" w:rsidR="00613D5E" w:rsidRPr="00E518F5" w:rsidRDefault="00613D5E" w:rsidP="001B1DE3">
      <w:pPr>
        <w:pStyle w:val="Paragraphetexte"/>
        <w:rPr>
          <w:szCs w:val="22"/>
        </w:rPr>
      </w:pPr>
      <w:proofErr w:type="gramStart"/>
      <w:r w:rsidRPr="00E518F5">
        <w:rPr>
          <w:szCs w:val="22"/>
        </w:rPr>
        <w:t>dans</w:t>
      </w:r>
      <w:proofErr w:type="gramEnd"/>
      <w:r w:rsidRPr="00E518F5">
        <w:rPr>
          <w:szCs w:val="22"/>
        </w:rPr>
        <w:t xml:space="preserve"> laquelle :</w:t>
      </w:r>
    </w:p>
    <w:p w14:paraId="1A19C35E" w14:textId="77777777" w:rsidR="00613D5E" w:rsidRPr="00E518F5" w:rsidRDefault="00613D5E" w:rsidP="001B1DE3">
      <w:pPr>
        <w:pStyle w:val="Paragraphetexte"/>
        <w:rPr>
          <w:szCs w:val="22"/>
        </w:rPr>
      </w:pPr>
      <w:r w:rsidRPr="00E518F5">
        <w:rPr>
          <w:szCs w:val="22"/>
        </w:rPr>
        <w:t xml:space="preserve">P = le prix révisé </w:t>
      </w:r>
    </w:p>
    <w:p w14:paraId="6968B920" w14:textId="77777777" w:rsidR="00613D5E" w:rsidRPr="00E518F5" w:rsidRDefault="00613D5E" w:rsidP="001B1DE3">
      <w:pPr>
        <w:pStyle w:val="Paragraphetexte"/>
        <w:rPr>
          <w:noProof/>
          <w:szCs w:val="22"/>
        </w:rPr>
      </w:pPr>
      <w:r w:rsidRPr="00E518F5">
        <w:rPr>
          <w:noProof/>
          <w:szCs w:val="22"/>
        </w:rPr>
        <w:t>P</w:t>
      </w:r>
      <w:r w:rsidRPr="00E518F5">
        <w:rPr>
          <w:noProof/>
          <w:szCs w:val="22"/>
          <w:vertAlign w:val="subscript"/>
        </w:rPr>
        <w:t>o</w:t>
      </w:r>
      <w:r w:rsidRPr="00E518F5">
        <w:rPr>
          <w:noProof/>
          <w:szCs w:val="22"/>
        </w:rPr>
        <w:t> : prix indiqués dans le bordereau des prix unitaires.</w:t>
      </w:r>
    </w:p>
    <w:p w14:paraId="7192E181" w14:textId="552D3883" w:rsidR="00613D5E" w:rsidRPr="00E518F5" w:rsidRDefault="00613D5E" w:rsidP="001B1DE3">
      <w:pPr>
        <w:pStyle w:val="Paragraphetexte"/>
        <w:rPr>
          <w:rFonts w:ascii="Geneva" w:hAnsi="Geneva"/>
          <w:noProof/>
          <w:szCs w:val="22"/>
        </w:rPr>
      </w:pPr>
      <w:r w:rsidRPr="00E518F5">
        <w:rPr>
          <w:noProof/>
          <w:szCs w:val="22"/>
        </w:rPr>
        <w:t xml:space="preserve">X : </w:t>
      </w:r>
      <w:r w:rsidRPr="00E518F5">
        <w:rPr>
          <w:szCs w:val="22"/>
          <w:shd w:val="clear" w:color="auto" w:fill="F7F7F7"/>
        </w:rPr>
        <w:t>Indice de prix de production de l'industrie française pour le marché français − CPF 20.41 − Savons, détergents et produits d'entretien 010764147</w:t>
      </w:r>
      <w:r w:rsidRPr="00E518F5">
        <w:rPr>
          <w:noProof/>
          <w:szCs w:val="22"/>
        </w:rPr>
        <w:t>.</w:t>
      </w:r>
    </w:p>
    <w:p w14:paraId="2AE20CBF" w14:textId="77777777" w:rsidR="00613D5E" w:rsidRPr="00E518F5" w:rsidRDefault="00613D5E" w:rsidP="001B1DE3">
      <w:pPr>
        <w:pStyle w:val="Paragraphetexte"/>
        <w:rPr>
          <w:szCs w:val="22"/>
        </w:rPr>
      </w:pPr>
      <w:proofErr w:type="spellStart"/>
      <w:r w:rsidRPr="00E518F5">
        <w:rPr>
          <w:szCs w:val="22"/>
        </w:rPr>
        <w:t>X</w:t>
      </w:r>
      <w:r w:rsidRPr="00E518F5">
        <w:rPr>
          <w:szCs w:val="22"/>
          <w:vertAlign w:val="subscript"/>
        </w:rPr>
        <w:t>o</w:t>
      </w:r>
      <w:proofErr w:type="spellEnd"/>
      <w:r w:rsidRPr="00E518F5">
        <w:rPr>
          <w:szCs w:val="22"/>
        </w:rPr>
        <w:t xml:space="preserve"> correspond à la dernière valeur publiée de cet indice au mois de remise des offres (mars 2026) ; </w:t>
      </w:r>
    </w:p>
    <w:p w14:paraId="3D0FD108" w14:textId="711D5DE9" w:rsidR="00613D5E" w:rsidRPr="00E518F5" w:rsidRDefault="00613D5E" w:rsidP="001B1DE3">
      <w:pPr>
        <w:pStyle w:val="Paragraphetexte"/>
        <w:rPr>
          <w:szCs w:val="22"/>
        </w:rPr>
      </w:pPr>
      <w:proofErr w:type="spellStart"/>
      <w:r w:rsidRPr="00E518F5">
        <w:rPr>
          <w:szCs w:val="22"/>
        </w:rPr>
        <w:t>X</w:t>
      </w:r>
      <w:r w:rsidRPr="00E518F5">
        <w:rPr>
          <w:szCs w:val="22"/>
          <w:vertAlign w:val="subscript"/>
        </w:rPr>
        <w:t>n</w:t>
      </w:r>
      <w:proofErr w:type="spellEnd"/>
      <w:r w:rsidRPr="00E518F5">
        <w:rPr>
          <w:szCs w:val="22"/>
        </w:rPr>
        <w:t xml:space="preserve"> correspond à la dernière valeur publiée de cet indice au cours du mois précéd</w:t>
      </w:r>
      <w:r w:rsidR="00226063">
        <w:rPr>
          <w:szCs w:val="22"/>
        </w:rPr>
        <w:t>a</w:t>
      </w:r>
      <w:r w:rsidRPr="00E518F5">
        <w:rPr>
          <w:szCs w:val="22"/>
        </w:rPr>
        <w:t>nt l’intervention de la révision.</w:t>
      </w:r>
    </w:p>
    <w:p w14:paraId="22D2EAFD" w14:textId="68E7F861" w:rsidR="00613D5E" w:rsidRPr="00E518F5" w:rsidRDefault="00613D5E" w:rsidP="001B1DE3">
      <w:pPr>
        <w:pStyle w:val="Paragraphetexte"/>
        <w:rPr>
          <w:noProof/>
          <w:szCs w:val="22"/>
        </w:rPr>
      </w:pPr>
      <w:r w:rsidRPr="00E518F5">
        <w:rPr>
          <w:noProof/>
          <w:szCs w:val="22"/>
        </w:rPr>
        <w:lastRenderedPageBreak/>
        <w:t xml:space="preserve">Y : </w:t>
      </w:r>
      <w:r w:rsidRPr="00E518F5">
        <w:rPr>
          <w:szCs w:val="22"/>
          <w:shd w:val="clear" w:color="auto" w:fill="F7F7F7"/>
        </w:rPr>
        <w:t>Indice de prix de production de l'industrie française pour le marché français − CPF 22.22 − Emballages en matières plastiques 010764161</w:t>
      </w:r>
      <w:r w:rsidRPr="00E518F5">
        <w:rPr>
          <w:noProof/>
          <w:szCs w:val="22"/>
        </w:rPr>
        <w:t>.</w:t>
      </w:r>
    </w:p>
    <w:p w14:paraId="108D9F8A" w14:textId="77777777" w:rsidR="00613D5E" w:rsidRPr="00E518F5" w:rsidRDefault="00613D5E" w:rsidP="001B1DE3">
      <w:pPr>
        <w:pStyle w:val="Paragraphetexte"/>
        <w:rPr>
          <w:szCs w:val="22"/>
        </w:rPr>
      </w:pPr>
      <w:r w:rsidRPr="00E518F5">
        <w:rPr>
          <w:szCs w:val="22"/>
        </w:rPr>
        <w:t>Y</w:t>
      </w:r>
      <w:r w:rsidRPr="00E518F5">
        <w:rPr>
          <w:szCs w:val="22"/>
          <w:vertAlign w:val="subscript"/>
        </w:rPr>
        <w:t>o</w:t>
      </w:r>
      <w:r w:rsidRPr="00E518F5">
        <w:rPr>
          <w:szCs w:val="22"/>
        </w:rPr>
        <w:t xml:space="preserve"> correspond à la dernière valeur publiée de cet indice au mois de remise des offres (mars 2026) ; </w:t>
      </w:r>
    </w:p>
    <w:p w14:paraId="242E2A61" w14:textId="141A86B5" w:rsidR="00613D5E" w:rsidRPr="00E518F5" w:rsidRDefault="00613D5E" w:rsidP="001B1DE3">
      <w:pPr>
        <w:pStyle w:val="Paragraphetexte"/>
        <w:rPr>
          <w:szCs w:val="22"/>
        </w:rPr>
      </w:pPr>
      <w:proofErr w:type="spellStart"/>
      <w:r w:rsidRPr="00E518F5">
        <w:rPr>
          <w:szCs w:val="22"/>
        </w:rPr>
        <w:t>Y</w:t>
      </w:r>
      <w:r w:rsidRPr="00E518F5">
        <w:rPr>
          <w:szCs w:val="22"/>
          <w:vertAlign w:val="subscript"/>
        </w:rPr>
        <w:t>n</w:t>
      </w:r>
      <w:proofErr w:type="spellEnd"/>
      <w:r w:rsidRPr="00E518F5">
        <w:rPr>
          <w:szCs w:val="22"/>
        </w:rPr>
        <w:t xml:space="preserve"> correspond à la dernière valeur publiée de cet indice au cours du mois précéd</w:t>
      </w:r>
      <w:r w:rsidR="00226063">
        <w:rPr>
          <w:szCs w:val="22"/>
        </w:rPr>
        <w:t>a</w:t>
      </w:r>
      <w:r w:rsidRPr="00E518F5">
        <w:rPr>
          <w:szCs w:val="22"/>
        </w:rPr>
        <w:t>nt l’intervention de la révision.</w:t>
      </w:r>
      <w:bookmarkEnd w:id="121"/>
    </w:p>
    <w:p w14:paraId="39CFEC1A" w14:textId="63DD4B7B" w:rsidR="00613D5E" w:rsidRPr="00E518F5" w:rsidRDefault="00613D5E" w:rsidP="001B1DE3">
      <w:pPr>
        <w:pStyle w:val="Pucedeparagraphe1"/>
        <w:rPr>
          <w:szCs w:val="22"/>
        </w:rPr>
      </w:pPr>
      <w:r w:rsidRPr="008511A9">
        <w:rPr>
          <w:b/>
          <w:bCs/>
          <w:szCs w:val="22"/>
          <w:u w:val="single"/>
        </w:rPr>
        <w:t>Pour le lot n° </w:t>
      </w:r>
      <w:r w:rsidRPr="00E518F5">
        <w:rPr>
          <w:b/>
          <w:bCs/>
          <w:szCs w:val="22"/>
          <w:u w:val="single"/>
        </w:rPr>
        <w:t>3</w:t>
      </w:r>
      <w:r w:rsidRPr="00E518F5">
        <w:rPr>
          <w:szCs w:val="22"/>
        </w:rPr>
        <w:t>, la révision sera effectuée à partir de la formule suivante :</w:t>
      </w:r>
    </w:p>
    <w:p w14:paraId="78A17570" w14:textId="510FC538" w:rsidR="00613D5E" w:rsidRPr="00E518F5" w:rsidRDefault="00613D5E" w:rsidP="001B1DE3">
      <w:pPr>
        <w:pStyle w:val="Paragraphetexte"/>
        <w:rPr>
          <w:noProof/>
          <w:szCs w:val="22"/>
          <w:lang w:val="pl-PL"/>
        </w:rPr>
      </w:pPr>
      <w:r w:rsidRPr="00E518F5">
        <w:rPr>
          <w:noProof/>
          <w:szCs w:val="22"/>
          <w:lang w:val="pl-PL"/>
        </w:rPr>
        <w:t>P = P</w:t>
      </w:r>
      <w:r w:rsidRPr="00E518F5">
        <w:rPr>
          <w:noProof/>
          <w:szCs w:val="22"/>
          <w:vertAlign w:val="subscript"/>
          <w:lang w:val="pl-PL"/>
        </w:rPr>
        <w:t>o</w:t>
      </w:r>
      <w:r w:rsidRPr="00E518F5">
        <w:rPr>
          <w:noProof/>
          <w:szCs w:val="22"/>
          <w:lang w:val="pl-PL"/>
        </w:rPr>
        <w:t xml:space="preserve"> x </w:t>
      </w:r>
      <w:r w:rsidRPr="00E518F5">
        <w:rPr>
          <w:noProof/>
          <w:szCs w:val="22"/>
          <w:u w:val="single"/>
          <w:lang w:val="pl-PL"/>
        </w:rPr>
        <w:t>X</w:t>
      </w:r>
      <w:r w:rsidRPr="00E518F5">
        <w:rPr>
          <w:noProof/>
          <w:szCs w:val="22"/>
          <w:vertAlign w:val="subscript"/>
          <w:lang w:val="pl-PL"/>
        </w:rPr>
        <w:t>n</w:t>
      </w:r>
      <w:r w:rsidRPr="00E518F5">
        <w:rPr>
          <w:noProof/>
          <w:szCs w:val="22"/>
          <w:u w:val="single"/>
          <w:lang w:val="pl-PL"/>
        </w:rPr>
        <w:t xml:space="preserve"> </w:t>
      </w:r>
      <w:r w:rsidRPr="00E518F5">
        <w:rPr>
          <w:noProof/>
          <w:szCs w:val="22"/>
          <w:lang w:val="pl-PL"/>
        </w:rPr>
        <w:t xml:space="preserve"> </w:t>
      </w:r>
    </w:p>
    <w:p w14:paraId="65233B47" w14:textId="3711C97D" w:rsidR="00613D5E" w:rsidRPr="00E518F5" w:rsidRDefault="00613D5E" w:rsidP="001B1DE3">
      <w:pPr>
        <w:pStyle w:val="Paragraphetexte"/>
        <w:rPr>
          <w:noProof/>
          <w:szCs w:val="22"/>
        </w:rPr>
      </w:pPr>
      <w:r w:rsidRPr="00E518F5">
        <w:rPr>
          <w:noProof/>
          <w:szCs w:val="22"/>
          <w:lang w:val="pl-PL"/>
        </w:rPr>
        <w:t xml:space="preserve">              </w:t>
      </w:r>
      <w:r w:rsidRPr="00E518F5">
        <w:rPr>
          <w:noProof/>
          <w:szCs w:val="22"/>
        </w:rPr>
        <w:t>X</w:t>
      </w:r>
      <w:r w:rsidRPr="00E518F5">
        <w:rPr>
          <w:noProof/>
          <w:szCs w:val="22"/>
          <w:vertAlign w:val="subscript"/>
        </w:rPr>
        <w:t>o</w:t>
      </w:r>
    </w:p>
    <w:p w14:paraId="13A5FAB9" w14:textId="77777777" w:rsidR="00613D5E" w:rsidRPr="00E518F5" w:rsidRDefault="00613D5E" w:rsidP="001B1DE3">
      <w:pPr>
        <w:pStyle w:val="Paragraphetexte"/>
        <w:rPr>
          <w:szCs w:val="22"/>
        </w:rPr>
      </w:pPr>
      <w:proofErr w:type="gramStart"/>
      <w:r w:rsidRPr="00E518F5">
        <w:rPr>
          <w:szCs w:val="22"/>
        </w:rPr>
        <w:t>dans</w:t>
      </w:r>
      <w:proofErr w:type="gramEnd"/>
      <w:r w:rsidRPr="00E518F5">
        <w:rPr>
          <w:szCs w:val="22"/>
        </w:rPr>
        <w:t xml:space="preserve"> laquelle :</w:t>
      </w:r>
    </w:p>
    <w:p w14:paraId="61903C35" w14:textId="77777777" w:rsidR="00613D5E" w:rsidRPr="00E518F5" w:rsidRDefault="00613D5E" w:rsidP="001B1DE3">
      <w:pPr>
        <w:pStyle w:val="Paragraphetexte"/>
        <w:rPr>
          <w:szCs w:val="22"/>
        </w:rPr>
      </w:pPr>
      <w:r w:rsidRPr="00E518F5">
        <w:rPr>
          <w:szCs w:val="22"/>
        </w:rPr>
        <w:t xml:space="preserve">P = le prix révisé </w:t>
      </w:r>
    </w:p>
    <w:p w14:paraId="7562B583" w14:textId="77777777" w:rsidR="00613D5E" w:rsidRPr="00E518F5" w:rsidRDefault="00613D5E" w:rsidP="001B1DE3">
      <w:pPr>
        <w:pStyle w:val="Paragraphetexte"/>
        <w:rPr>
          <w:noProof/>
          <w:szCs w:val="22"/>
        </w:rPr>
      </w:pPr>
      <w:r w:rsidRPr="00E518F5">
        <w:rPr>
          <w:noProof/>
          <w:szCs w:val="22"/>
        </w:rPr>
        <w:t>P</w:t>
      </w:r>
      <w:r w:rsidRPr="00E518F5">
        <w:rPr>
          <w:noProof/>
          <w:szCs w:val="22"/>
          <w:vertAlign w:val="subscript"/>
        </w:rPr>
        <w:t>o</w:t>
      </w:r>
      <w:r w:rsidRPr="00E518F5">
        <w:rPr>
          <w:noProof/>
          <w:szCs w:val="22"/>
        </w:rPr>
        <w:t> : prix indiqués dans le bordereau des prix unitaires.</w:t>
      </w:r>
    </w:p>
    <w:p w14:paraId="66DA50E2" w14:textId="1C675FAE" w:rsidR="00613D5E" w:rsidRPr="00E518F5" w:rsidRDefault="00613D5E" w:rsidP="001B1DE3">
      <w:pPr>
        <w:pStyle w:val="Paragraphetexte"/>
        <w:rPr>
          <w:rFonts w:ascii="Geneva" w:hAnsi="Geneva"/>
          <w:noProof/>
          <w:szCs w:val="22"/>
        </w:rPr>
      </w:pPr>
      <w:r w:rsidRPr="00E518F5">
        <w:rPr>
          <w:noProof/>
          <w:szCs w:val="22"/>
        </w:rPr>
        <w:t xml:space="preserve">X : </w:t>
      </w:r>
      <w:r w:rsidR="00337D1F" w:rsidRPr="00E518F5">
        <w:rPr>
          <w:szCs w:val="22"/>
          <w:shd w:val="clear" w:color="auto" w:fill="F7F7F7"/>
        </w:rPr>
        <w:t xml:space="preserve">Indice des prix à la consommation - Base 2015 - Ensemble des ménages - France - Nomenclature </w:t>
      </w:r>
      <w:proofErr w:type="spellStart"/>
      <w:r w:rsidR="00337D1F" w:rsidRPr="00E518F5">
        <w:rPr>
          <w:szCs w:val="22"/>
          <w:shd w:val="clear" w:color="auto" w:fill="F7F7F7"/>
        </w:rPr>
        <w:t>Coicop</w:t>
      </w:r>
      <w:proofErr w:type="spellEnd"/>
      <w:r w:rsidR="00337D1F" w:rsidRPr="00E518F5">
        <w:rPr>
          <w:szCs w:val="22"/>
          <w:shd w:val="clear" w:color="auto" w:fill="F7F7F7"/>
        </w:rPr>
        <w:t xml:space="preserve"> : 05.3.1.5 - Matériel de nettoyage 001763590</w:t>
      </w:r>
      <w:r w:rsidRPr="00E518F5">
        <w:rPr>
          <w:noProof/>
          <w:szCs w:val="22"/>
        </w:rPr>
        <w:t>.</w:t>
      </w:r>
    </w:p>
    <w:p w14:paraId="605DD653" w14:textId="77777777" w:rsidR="00613D5E" w:rsidRPr="00E518F5" w:rsidRDefault="00613D5E" w:rsidP="001B1DE3">
      <w:pPr>
        <w:pStyle w:val="Paragraphetexte"/>
        <w:rPr>
          <w:szCs w:val="22"/>
        </w:rPr>
      </w:pPr>
      <w:proofErr w:type="spellStart"/>
      <w:r w:rsidRPr="00E518F5">
        <w:rPr>
          <w:szCs w:val="22"/>
        </w:rPr>
        <w:t>X</w:t>
      </w:r>
      <w:r w:rsidRPr="00E518F5">
        <w:rPr>
          <w:szCs w:val="22"/>
          <w:vertAlign w:val="subscript"/>
        </w:rPr>
        <w:t>o</w:t>
      </w:r>
      <w:proofErr w:type="spellEnd"/>
      <w:r w:rsidRPr="00E518F5">
        <w:rPr>
          <w:szCs w:val="22"/>
        </w:rPr>
        <w:t xml:space="preserve"> correspond à la dernière valeur publiée de cet indice au mois de remise des offres (mars 2026) ; </w:t>
      </w:r>
    </w:p>
    <w:p w14:paraId="66D60BC9" w14:textId="3A331F83" w:rsidR="00BD2DED" w:rsidRPr="00E518F5" w:rsidRDefault="00613D5E" w:rsidP="001B1DE3">
      <w:pPr>
        <w:pStyle w:val="Paragraphetexte"/>
        <w:rPr>
          <w:szCs w:val="22"/>
        </w:rPr>
      </w:pPr>
      <w:proofErr w:type="spellStart"/>
      <w:r w:rsidRPr="00E518F5">
        <w:rPr>
          <w:szCs w:val="22"/>
        </w:rPr>
        <w:t>X</w:t>
      </w:r>
      <w:r w:rsidRPr="00E518F5">
        <w:rPr>
          <w:szCs w:val="22"/>
          <w:vertAlign w:val="subscript"/>
        </w:rPr>
        <w:t>n</w:t>
      </w:r>
      <w:proofErr w:type="spellEnd"/>
      <w:r w:rsidRPr="00E518F5">
        <w:rPr>
          <w:szCs w:val="22"/>
        </w:rPr>
        <w:t xml:space="preserve"> correspond à la dernière valeur publiée de cet indice au cours du mois précéd</w:t>
      </w:r>
      <w:r w:rsidR="00226063">
        <w:rPr>
          <w:szCs w:val="22"/>
        </w:rPr>
        <w:t>a</w:t>
      </w:r>
      <w:r w:rsidRPr="00E518F5">
        <w:rPr>
          <w:szCs w:val="22"/>
        </w:rPr>
        <w:t>nt l’intervention de la révision.</w:t>
      </w:r>
    </w:p>
    <w:p w14:paraId="3C8EFDDA" w14:textId="77777777" w:rsidR="00BD2DED" w:rsidRPr="00BD2DED" w:rsidRDefault="00BD2DED" w:rsidP="00305057">
      <w:pPr>
        <w:pStyle w:val="1Article"/>
      </w:pPr>
      <w:bookmarkStart w:id="124" w:name="_Toc327459781"/>
      <w:bookmarkStart w:id="125" w:name="_Toc333566299"/>
      <w:bookmarkStart w:id="126" w:name="_Toc90473406"/>
      <w:bookmarkStart w:id="127" w:name="_Toc222388748"/>
      <w:r w:rsidRPr="00BD2DED">
        <w:t>modalités d’exécution du marché</w:t>
      </w:r>
      <w:bookmarkEnd w:id="124"/>
      <w:bookmarkEnd w:id="125"/>
      <w:bookmarkEnd w:id="126"/>
      <w:bookmarkEnd w:id="127"/>
    </w:p>
    <w:p w14:paraId="54AD7A3F" w14:textId="77777777" w:rsidR="00BD2DED" w:rsidRPr="00BD2DED" w:rsidRDefault="00BD2DED" w:rsidP="00305057">
      <w:pPr>
        <w:pStyle w:val="2Titre2-RC"/>
      </w:pPr>
      <w:bookmarkStart w:id="128" w:name="_Toc333566300"/>
      <w:bookmarkStart w:id="129" w:name="_Toc90473407"/>
      <w:bookmarkStart w:id="130" w:name="_Toc222388749"/>
      <w:r w:rsidRPr="00BD2DED">
        <w:t>Bons de commande</w:t>
      </w:r>
      <w:bookmarkEnd w:id="128"/>
      <w:bookmarkEnd w:id="129"/>
      <w:bookmarkEnd w:id="130"/>
    </w:p>
    <w:p w14:paraId="1E37ABDD" w14:textId="77777777" w:rsidR="00BD2DED" w:rsidRPr="00BD2DED" w:rsidRDefault="00BD2DED" w:rsidP="00305057">
      <w:pPr>
        <w:pStyle w:val="Paragraphetexte"/>
      </w:pPr>
      <w:r w:rsidRPr="00BD2DED">
        <w:t>Le marché s’exécute par émission de bons de commande successifs, au fur et à mesure de la survenance des besoins du Sénat. Tout au long de la période d’exécution, chaque titulaire doit être en mesure de fournir l’ensemble des prestations définies dans le marché.</w:t>
      </w:r>
    </w:p>
    <w:p w14:paraId="58C9031E" w14:textId="2AFCA3CA" w:rsidR="00BD2DED" w:rsidRPr="00BD2DED" w:rsidRDefault="00BD2DED" w:rsidP="00305057">
      <w:pPr>
        <w:pStyle w:val="Paragraphetexte"/>
      </w:pPr>
      <w:r w:rsidRPr="00BD2DED">
        <w:t>Les bons de commande peuvent être émis jusqu'au dernier jour de validité du marché. Ils sont signés par l</w:t>
      </w:r>
      <w:r w:rsidR="00305057">
        <w:t>e</w:t>
      </w:r>
      <w:r w:rsidRPr="00BD2DED">
        <w:t xml:space="preserve"> direct</w:t>
      </w:r>
      <w:r w:rsidR="00305057">
        <w:t>eur</w:t>
      </w:r>
      <w:r w:rsidRPr="00BD2DED">
        <w:t xml:space="preserve"> de la Logistique et des Moyens généraux du Sénat ou son représentant.</w:t>
      </w:r>
    </w:p>
    <w:p w14:paraId="32897AD4" w14:textId="53FFFA0E" w:rsidR="00BD2DED" w:rsidRPr="00BD2DED" w:rsidRDefault="00BD2DED" w:rsidP="00305057">
      <w:pPr>
        <w:pStyle w:val="Paragraphetexte"/>
      </w:pPr>
      <w:r w:rsidRPr="00BD2DED">
        <w:t>S’il a un doute sur la validité ou le contenu d’un bon de commande, le titulaire s’assure de son bien</w:t>
      </w:r>
      <w:r w:rsidRPr="00BD2DED">
        <w:noBreakHyphen/>
        <w:t xml:space="preserve">fondé auprès </w:t>
      </w:r>
      <w:r w:rsidR="00305057">
        <w:t>du directeur</w:t>
      </w:r>
      <w:r w:rsidRPr="00BD2DED">
        <w:t xml:space="preserve"> de la Logistique et des Moyens généraux ou de son représentant.</w:t>
      </w:r>
    </w:p>
    <w:p w14:paraId="5F39E431" w14:textId="77777777" w:rsidR="00BD2DED" w:rsidRPr="00BD2DED" w:rsidRDefault="00BD2DED" w:rsidP="00305057">
      <w:pPr>
        <w:pStyle w:val="Paragraphetexte"/>
      </w:pPr>
      <w:r w:rsidRPr="00BD2DED">
        <w:t>Les quantités indiquées sur le bon de commande sont impératives et les prix unitaires comprennent le conditionnement des articles et leur livraison au Sénat.</w:t>
      </w:r>
    </w:p>
    <w:p w14:paraId="4AF40916" w14:textId="77777777" w:rsidR="00BD2DED" w:rsidRPr="00BD2DED" w:rsidRDefault="00BD2DED" w:rsidP="00305057">
      <w:pPr>
        <w:pStyle w:val="Paragraphetexte"/>
      </w:pPr>
      <w:r w:rsidRPr="00BD2DED">
        <w:t>Ils sont notifiés au titulaire par courrier électronique selon les coordonnées indiquées dans le CRA.</w:t>
      </w:r>
    </w:p>
    <w:p w14:paraId="0F0D704E" w14:textId="77777777" w:rsidR="00BD2DED" w:rsidRPr="00BD2DED" w:rsidRDefault="00BD2DED" w:rsidP="00305057">
      <w:pPr>
        <w:pStyle w:val="Paragraphetexte"/>
      </w:pPr>
      <w:r w:rsidRPr="00BD2DED">
        <w:t>Le bon de commande comporte les éléments suivants :</w:t>
      </w:r>
    </w:p>
    <w:p w14:paraId="119A159D" w14:textId="77777777" w:rsidR="00BD2DED" w:rsidRPr="00BD2DED" w:rsidRDefault="00BD2DED" w:rsidP="00305057">
      <w:pPr>
        <w:pStyle w:val="Pucedeparagraphe1"/>
      </w:pPr>
      <w:proofErr w:type="gramStart"/>
      <w:r w:rsidRPr="00BD2DED">
        <w:t>la</w:t>
      </w:r>
      <w:proofErr w:type="gramEnd"/>
      <w:r w:rsidRPr="00BD2DED">
        <w:t xml:space="preserve"> date de la commande ;</w:t>
      </w:r>
    </w:p>
    <w:p w14:paraId="5F3BE121" w14:textId="77777777" w:rsidR="00BD2DED" w:rsidRPr="00BD2DED" w:rsidRDefault="00BD2DED" w:rsidP="00305057">
      <w:pPr>
        <w:pStyle w:val="Pucedeparagraphe1"/>
      </w:pPr>
      <w:proofErr w:type="gramStart"/>
      <w:r w:rsidRPr="00BD2DED">
        <w:t>un</w:t>
      </w:r>
      <w:proofErr w:type="gramEnd"/>
      <w:r w:rsidRPr="00BD2DED">
        <w:t xml:space="preserve"> numéro de bon de commande ;</w:t>
      </w:r>
    </w:p>
    <w:p w14:paraId="17389891" w14:textId="77777777" w:rsidR="00BD2DED" w:rsidRPr="00BD2DED" w:rsidRDefault="00BD2DED" w:rsidP="00305057">
      <w:pPr>
        <w:pStyle w:val="Pucedeparagraphe1"/>
      </w:pPr>
      <w:proofErr w:type="gramStart"/>
      <w:r w:rsidRPr="00BD2DED">
        <w:t>le</w:t>
      </w:r>
      <w:proofErr w:type="gramEnd"/>
      <w:r w:rsidRPr="00BD2DED">
        <w:t xml:space="preserve"> numéro de marché ;</w:t>
      </w:r>
    </w:p>
    <w:p w14:paraId="7141A387" w14:textId="77777777" w:rsidR="00BD2DED" w:rsidRPr="00BD2DED" w:rsidRDefault="00BD2DED" w:rsidP="00305057">
      <w:pPr>
        <w:pStyle w:val="Pucedeparagraphe1"/>
      </w:pPr>
      <w:proofErr w:type="gramStart"/>
      <w:r w:rsidRPr="00BD2DED">
        <w:t>les</w:t>
      </w:r>
      <w:proofErr w:type="gramEnd"/>
      <w:r w:rsidRPr="00BD2DED">
        <w:t xml:space="preserve"> références des articles commandées et leur désignation ;</w:t>
      </w:r>
    </w:p>
    <w:p w14:paraId="7E2B5C5D" w14:textId="77777777" w:rsidR="00BD2DED" w:rsidRPr="00BD2DED" w:rsidRDefault="00BD2DED" w:rsidP="00305057">
      <w:pPr>
        <w:pStyle w:val="Pucedeparagraphe1"/>
      </w:pPr>
      <w:proofErr w:type="gramStart"/>
      <w:r w:rsidRPr="00BD2DED">
        <w:t>les</w:t>
      </w:r>
      <w:proofErr w:type="gramEnd"/>
      <w:r w:rsidRPr="00BD2DED">
        <w:t xml:space="preserve"> quantités demandées ;</w:t>
      </w:r>
    </w:p>
    <w:p w14:paraId="60835265" w14:textId="77777777" w:rsidR="00BD2DED" w:rsidRPr="00BD2DED" w:rsidRDefault="00BD2DED" w:rsidP="00305057">
      <w:pPr>
        <w:pStyle w:val="Pucedeparagraphe1"/>
      </w:pPr>
      <w:proofErr w:type="gramStart"/>
      <w:r w:rsidRPr="00BD2DED">
        <w:t>les</w:t>
      </w:r>
      <w:proofErr w:type="gramEnd"/>
      <w:r w:rsidRPr="00BD2DED">
        <w:t xml:space="preserve"> montants HT et TTC correspondants ; </w:t>
      </w:r>
    </w:p>
    <w:p w14:paraId="28FCDB36" w14:textId="77777777" w:rsidR="00BD2DED" w:rsidRPr="00BD2DED" w:rsidRDefault="00BD2DED" w:rsidP="00305057">
      <w:pPr>
        <w:pStyle w:val="Pucedeparagraphe1"/>
      </w:pPr>
      <w:proofErr w:type="gramStart"/>
      <w:r w:rsidRPr="00BD2DED">
        <w:t>l’adresse</w:t>
      </w:r>
      <w:proofErr w:type="gramEnd"/>
      <w:r w:rsidRPr="00BD2DED">
        <w:t xml:space="preserve"> de livraison ;</w:t>
      </w:r>
    </w:p>
    <w:p w14:paraId="07727D63" w14:textId="77777777" w:rsidR="00BD2DED" w:rsidRPr="00BD2DED" w:rsidRDefault="00BD2DED" w:rsidP="00305057">
      <w:pPr>
        <w:pStyle w:val="Pucedeparagraphe1"/>
      </w:pPr>
      <w:proofErr w:type="gramStart"/>
      <w:r w:rsidRPr="00BD2DED">
        <w:t>la</w:t>
      </w:r>
      <w:proofErr w:type="gramEnd"/>
      <w:r w:rsidRPr="00BD2DED">
        <w:t xml:space="preserve"> date de livraison souhaitée ;</w:t>
      </w:r>
    </w:p>
    <w:p w14:paraId="4E40FF7A" w14:textId="77777777" w:rsidR="00BD2DED" w:rsidRPr="00BD2DED" w:rsidRDefault="00BD2DED" w:rsidP="00305057">
      <w:pPr>
        <w:pStyle w:val="Pucedeparagraphe1"/>
      </w:pPr>
      <w:proofErr w:type="gramStart"/>
      <w:r w:rsidRPr="00BD2DED">
        <w:t>les</w:t>
      </w:r>
      <w:proofErr w:type="gramEnd"/>
      <w:r w:rsidRPr="00BD2DED">
        <w:t xml:space="preserve"> jours et heures de réception des livraisons.</w:t>
      </w:r>
    </w:p>
    <w:p w14:paraId="2E95D439" w14:textId="77777777" w:rsidR="00BD2DED" w:rsidRPr="00BD2DED" w:rsidRDefault="00BD2DED" w:rsidP="00305057">
      <w:pPr>
        <w:pStyle w:val="Paragraphetexte"/>
      </w:pPr>
      <w:r w:rsidRPr="00BD2DED">
        <w:lastRenderedPageBreak/>
        <w:t>Le titulaire confirme par courrier électronique (à l’adresse indiquée sur le bon de commande) la bonne prise en compte de toute commande.</w:t>
      </w:r>
      <w:bookmarkStart w:id="131" w:name="_Toc75276343"/>
      <w:bookmarkStart w:id="132" w:name="_Toc75276407"/>
      <w:bookmarkStart w:id="133" w:name="_Toc75276570"/>
      <w:bookmarkStart w:id="134" w:name="_Toc75442130"/>
      <w:bookmarkStart w:id="135" w:name="_Toc76392873"/>
      <w:bookmarkStart w:id="136" w:name="_Toc76394246"/>
      <w:bookmarkStart w:id="137" w:name="_Toc75442132"/>
      <w:bookmarkStart w:id="138" w:name="_Toc76392875"/>
      <w:bookmarkStart w:id="139" w:name="_Toc76394248"/>
      <w:bookmarkStart w:id="140" w:name="_Toc231026699"/>
      <w:bookmarkStart w:id="141" w:name="_Toc236020553"/>
      <w:bookmarkStart w:id="142" w:name="_Toc242179744"/>
      <w:bookmarkStart w:id="143" w:name="_Toc327459793"/>
      <w:bookmarkStart w:id="144" w:name="_Toc333566306"/>
      <w:bookmarkEnd w:id="131"/>
      <w:bookmarkEnd w:id="132"/>
      <w:bookmarkEnd w:id="133"/>
      <w:bookmarkEnd w:id="134"/>
      <w:bookmarkEnd w:id="135"/>
      <w:bookmarkEnd w:id="136"/>
      <w:bookmarkEnd w:id="137"/>
      <w:bookmarkEnd w:id="138"/>
      <w:bookmarkEnd w:id="139"/>
    </w:p>
    <w:p w14:paraId="44FB4D92" w14:textId="77777777" w:rsidR="00BD2DED" w:rsidRPr="00BD2DED" w:rsidRDefault="00BD2DED" w:rsidP="00305057">
      <w:pPr>
        <w:pStyle w:val="2Titre2-RC"/>
      </w:pPr>
      <w:bookmarkStart w:id="145" w:name="_Toc357428198"/>
      <w:bookmarkStart w:id="146" w:name="_Toc357589876"/>
      <w:bookmarkStart w:id="147" w:name="_Toc358298099"/>
      <w:bookmarkStart w:id="148" w:name="_Toc501099121"/>
      <w:bookmarkStart w:id="149" w:name="_Toc90473408"/>
      <w:bookmarkStart w:id="150" w:name="_Toc222388750"/>
      <w:r w:rsidRPr="00BD2DED">
        <w:t>Livraison</w:t>
      </w:r>
      <w:bookmarkEnd w:id="145"/>
      <w:r w:rsidRPr="00BD2DED">
        <w:t>s</w:t>
      </w:r>
      <w:bookmarkEnd w:id="146"/>
      <w:bookmarkEnd w:id="147"/>
      <w:bookmarkEnd w:id="148"/>
      <w:bookmarkEnd w:id="149"/>
      <w:bookmarkEnd w:id="150"/>
    </w:p>
    <w:p w14:paraId="77DBC316" w14:textId="77777777" w:rsidR="00BD2DED" w:rsidRPr="00BD2DED" w:rsidRDefault="00BD2DED" w:rsidP="00305057">
      <w:pPr>
        <w:pStyle w:val="3Titre3-RC"/>
      </w:pPr>
      <w:bookmarkStart w:id="151" w:name="_Toc357428199"/>
      <w:bookmarkStart w:id="152" w:name="_Toc357589877"/>
      <w:bookmarkStart w:id="153" w:name="_Toc358298100"/>
      <w:bookmarkStart w:id="154" w:name="_Toc501099122"/>
      <w:bookmarkStart w:id="155" w:name="_Toc90473409"/>
      <w:bookmarkStart w:id="156" w:name="_Toc222388751"/>
      <w:r w:rsidRPr="00BD2DED">
        <w:t>Modalités de livraison</w:t>
      </w:r>
      <w:bookmarkEnd w:id="151"/>
      <w:bookmarkEnd w:id="152"/>
      <w:bookmarkEnd w:id="153"/>
      <w:bookmarkEnd w:id="154"/>
      <w:bookmarkEnd w:id="155"/>
      <w:bookmarkEnd w:id="156"/>
    </w:p>
    <w:p w14:paraId="44D81628" w14:textId="77777777" w:rsidR="00BD2DED" w:rsidRPr="00BD2DED" w:rsidRDefault="00BD2DED" w:rsidP="00305057">
      <w:pPr>
        <w:pStyle w:val="Paragraphetexte"/>
      </w:pPr>
      <w:r w:rsidRPr="00BD2DED">
        <w:t>Sauf disposition contraire et expresse du bon de commande, les fournitures sont à livrer à l’adresse suivante :</w:t>
      </w:r>
    </w:p>
    <w:p w14:paraId="30D6DD6A" w14:textId="77777777" w:rsidR="00BD2DED" w:rsidRPr="00BD2DED" w:rsidRDefault="00BD2DED" w:rsidP="00305057">
      <w:pPr>
        <w:pStyle w:val="Paragraphetexte"/>
        <w:jc w:val="center"/>
      </w:pPr>
      <w:r w:rsidRPr="00BD2DED">
        <w:rPr>
          <w:caps/>
        </w:rPr>
        <w:t>S</w:t>
      </w:r>
      <w:r w:rsidRPr="00BD2DED">
        <w:t>énat</w:t>
      </w:r>
      <w:r w:rsidRPr="00BD2DED">
        <w:br/>
        <w:t>Direction de la Logistique et des Moyens généraux (DLMG)</w:t>
      </w:r>
      <w:r w:rsidRPr="00BD2DED">
        <w:br/>
        <w:t>11 rue Servandoni - 75006 PARIS</w:t>
      </w:r>
    </w:p>
    <w:p w14:paraId="3DF90007" w14:textId="77777777" w:rsidR="00BD2DED" w:rsidRPr="00BD2DED" w:rsidRDefault="00BD2DED" w:rsidP="00305057">
      <w:pPr>
        <w:pStyle w:val="Paragraphetexte"/>
        <w:jc w:val="center"/>
      </w:pPr>
      <w:proofErr w:type="gramStart"/>
      <w:r w:rsidRPr="00BD2DED">
        <w:t>de</w:t>
      </w:r>
      <w:proofErr w:type="gramEnd"/>
      <w:r w:rsidRPr="00BD2DED">
        <w:t xml:space="preserve"> 9 heures à 12 heures et de 14 heures à 17 heures 30</w:t>
      </w:r>
    </w:p>
    <w:p w14:paraId="1482E230" w14:textId="77777777" w:rsidR="00BD2DED" w:rsidRPr="00BD2DED" w:rsidRDefault="00BD2DED" w:rsidP="00305057">
      <w:pPr>
        <w:pStyle w:val="3Titre3-RC"/>
      </w:pPr>
      <w:bookmarkStart w:id="157" w:name="_Toc357428200"/>
      <w:bookmarkStart w:id="158" w:name="_Toc357589878"/>
      <w:bookmarkStart w:id="159" w:name="_Toc358298101"/>
      <w:bookmarkStart w:id="160" w:name="_Toc501099123"/>
      <w:bookmarkStart w:id="161" w:name="_Toc90473410"/>
      <w:bookmarkStart w:id="162" w:name="_Toc222388752"/>
      <w:r w:rsidRPr="00BD2DED">
        <w:t>Délais de livraison</w:t>
      </w:r>
      <w:bookmarkEnd w:id="157"/>
      <w:bookmarkEnd w:id="158"/>
      <w:bookmarkEnd w:id="159"/>
      <w:bookmarkEnd w:id="160"/>
      <w:bookmarkEnd w:id="161"/>
      <w:bookmarkEnd w:id="162"/>
    </w:p>
    <w:p w14:paraId="7C2C1683" w14:textId="77777777" w:rsidR="00BD2DED" w:rsidRPr="00BD2DED" w:rsidRDefault="00BD2DED" w:rsidP="00305057">
      <w:pPr>
        <w:pStyle w:val="Encadrtexte"/>
      </w:pPr>
      <w:r w:rsidRPr="00BD2DED">
        <w:t xml:space="preserve">Pour chaque lot, </w:t>
      </w:r>
      <w:r w:rsidRPr="00F50C0B">
        <w:rPr>
          <w:b/>
          <w:bCs/>
          <w:u w:val="single"/>
        </w:rPr>
        <w:t>le délai de livraison applicable est celui que le titulaire indique dans le cahier des réponses attendues</w:t>
      </w:r>
      <w:r w:rsidRPr="00BD2DED">
        <w:t xml:space="preserve"> et qu’il s’engage à respecter.</w:t>
      </w:r>
    </w:p>
    <w:p w14:paraId="42689FF1" w14:textId="77777777" w:rsidR="00BD2DED" w:rsidRPr="00305057" w:rsidRDefault="00BD2DED" w:rsidP="00305057">
      <w:pPr>
        <w:pStyle w:val="Encadrtexte"/>
        <w:rPr>
          <w:b/>
          <w:bCs/>
        </w:rPr>
      </w:pPr>
      <w:r w:rsidRPr="00305057">
        <w:rPr>
          <w:b/>
          <w:bCs/>
        </w:rPr>
        <w:t>Pour tous les lots, ce délai ne peut être supérieur à 14 jours calendaires à compter de la réception du bon de commande.</w:t>
      </w:r>
      <w:bookmarkEnd w:id="140"/>
      <w:bookmarkEnd w:id="141"/>
      <w:bookmarkEnd w:id="142"/>
      <w:bookmarkEnd w:id="143"/>
      <w:bookmarkEnd w:id="144"/>
    </w:p>
    <w:p w14:paraId="42CCC03C" w14:textId="77777777" w:rsidR="00BD2DED" w:rsidRPr="00BD2DED" w:rsidRDefault="00BD2DED" w:rsidP="00305057">
      <w:pPr>
        <w:pStyle w:val="3Titre3-RC"/>
      </w:pPr>
      <w:bookmarkStart w:id="163" w:name="_Toc75176753"/>
      <w:bookmarkStart w:id="164" w:name="_Toc75176754"/>
      <w:bookmarkStart w:id="165" w:name="_Toc90473411"/>
      <w:bookmarkStart w:id="166" w:name="_Toc222388753"/>
      <w:bookmarkEnd w:id="163"/>
      <w:bookmarkEnd w:id="164"/>
      <w:r w:rsidRPr="00BD2DED">
        <w:t>Bons de livraison</w:t>
      </w:r>
      <w:bookmarkEnd w:id="165"/>
      <w:bookmarkEnd w:id="166"/>
    </w:p>
    <w:p w14:paraId="43F795EA" w14:textId="77777777" w:rsidR="00BD2DED" w:rsidRPr="00BD2DED" w:rsidRDefault="00BD2DED" w:rsidP="00166E0C">
      <w:pPr>
        <w:pStyle w:val="Paragraphetexte"/>
      </w:pPr>
      <w:r w:rsidRPr="00BD2DED">
        <w:t xml:space="preserve">Les prestations exécutées donnent lieu à la délivrance </w:t>
      </w:r>
      <w:r w:rsidRPr="00BD2DED">
        <w:rPr>
          <w:b/>
        </w:rPr>
        <w:t>d’un bon de livraison</w:t>
      </w:r>
      <w:r w:rsidRPr="00BD2DED">
        <w:t xml:space="preserve"> à l’en-tête du fournisseur, établi en double exemplaire, mentionnant :</w:t>
      </w:r>
    </w:p>
    <w:p w14:paraId="0C3EFCDD" w14:textId="77777777" w:rsidR="00BD2DED" w:rsidRPr="00BD2DED" w:rsidRDefault="00BD2DED" w:rsidP="00166E0C">
      <w:pPr>
        <w:pStyle w:val="Pucedeparagraphe1"/>
      </w:pPr>
      <w:proofErr w:type="gramStart"/>
      <w:r w:rsidRPr="00BD2DED">
        <w:t>le</w:t>
      </w:r>
      <w:proofErr w:type="gramEnd"/>
      <w:r w:rsidRPr="00BD2DED">
        <w:t xml:space="preserve"> numéro du bon de commande ;</w:t>
      </w:r>
    </w:p>
    <w:p w14:paraId="67776F5E" w14:textId="77777777" w:rsidR="00BD2DED" w:rsidRPr="00BD2DED" w:rsidRDefault="00BD2DED" w:rsidP="00166E0C">
      <w:pPr>
        <w:pStyle w:val="Pucedeparagraphe1"/>
      </w:pPr>
      <w:proofErr w:type="gramStart"/>
      <w:r w:rsidRPr="00BD2DED">
        <w:t>le</w:t>
      </w:r>
      <w:proofErr w:type="gramEnd"/>
      <w:r w:rsidRPr="00BD2DED">
        <w:t xml:space="preserve"> lieu de de livraison ;</w:t>
      </w:r>
    </w:p>
    <w:p w14:paraId="6BF8551E" w14:textId="77777777" w:rsidR="00BD2DED" w:rsidRPr="00BD2DED" w:rsidRDefault="00BD2DED" w:rsidP="00166E0C">
      <w:pPr>
        <w:pStyle w:val="Pucedeparagraphe1"/>
      </w:pPr>
      <w:proofErr w:type="gramStart"/>
      <w:r w:rsidRPr="00BD2DED">
        <w:t>la</w:t>
      </w:r>
      <w:proofErr w:type="gramEnd"/>
      <w:r w:rsidRPr="00BD2DED">
        <w:t xml:space="preserve"> date d’exécution ;</w:t>
      </w:r>
    </w:p>
    <w:p w14:paraId="30E65649" w14:textId="77777777" w:rsidR="00BD2DED" w:rsidRPr="00BD2DED" w:rsidRDefault="00BD2DED" w:rsidP="00166E0C">
      <w:pPr>
        <w:pStyle w:val="Pucedeparagraphe1"/>
      </w:pPr>
      <w:proofErr w:type="gramStart"/>
      <w:r w:rsidRPr="00BD2DED">
        <w:t>la</w:t>
      </w:r>
      <w:proofErr w:type="gramEnd"/>
      <w:r w:rsidRPr="00BD2DED">
        <w:t xml:space="preserve"> qualification commerciale de la marchandise ;</w:t>
      </w:r>
    </w:p>
    <w:p w14:paraId="0F890810" w14:textId="77777777" w:rsidR="00BD2DED" w:rsidRPr="00BD2DED" w:rsidRDefault="00BD2DED" w:rsidP="00166E0C">
      <w:pPr>
        <w:pStyle w:val="Pucedeparagraphe1"/>
      </w:pPr>
      <w:proofErr w:type="gramStart"/>
      <w:r w:rsidRPr="00BD2DED">
        <w:t>les</w:t>
      </w:r>
      <w:proofErr w:type="gramEnd"/>
      <w:r w:rsidRPr="00BD2DED">
        <w:t xml:space="preserve"> quantités livrées.</w:t>
      </w:r>
    </w:p>
    <w:p w14:paraId="1707039D" w14:textId="77777777" w:rsidR="00BD2DED" w:rsidRPr="00BD2DED" w:rsidRDefault="00BD2DED" w:rsidP="00F367B2">
      <w:pPr>
        <w:pStyle w:val="3Titre3-RC"/>
      </w:pPr>
      <w:bookmarkStart w:id="167" w:name="_Toc90473412"/>
      <w:bookmarkStart w:id="168" w:name="_Toc222388754"/>
      <w:r w:rsidRPr="00BD2DED">
        <w:t>Interdiction des livraisons partielles</w:t>
      </w:r>
      <w:bookmarkEnd w:id="167"/>
      <w:bookmarkEnd w:id="168"/>
    </w:p>
    <w:p w14:paraId="0322618D" w14:textId="202F2166" w:rsidR="00BD2DED" w:rsidRDefault="00BD2DED" w:rsidP="00F50C0B">
      <w:pPr>
        <w:pStyle w:val="Paragraphetexte"/>
      </w:pPr>
      <w:r w:rsidRPr="00F50C0B">
        <w:t>Sauf décision contraire du Sénat, les produits commandés sur un même bon de commande doivent être livrés en même temps.</w:t>
      </w:r>
    </w:p>
    <w:p w14:paraId="4B210106" w14:textId="53BB3443" w:rsidR="0065249F" w:rsidRDefault="0065249F" w:rsidP="0065249F">
      <w:pPr>
        <w:pStyle w:val="2Titre2-RC"/>
      </w:pPr>
      <w:bookmarkStart w:id="169" w:name="_Toc222388755"/>
      <w:r>
        <w:t>Dérogations à l’exclusivité du marché</w:t>
      </w:r>
      <w:bookmarkEnd w:id="169"/>
    </w:p>
    <w:p w14:paraId="4FD0CC99" w14:textId="0A105174" w:rsidR="0065249F" w:rsidRPr="0065249F" w:rsidRDefault="0065249F" w:rsidP="0065249F">
      <w:r>
        <w:t xml:space="preserve">Par dérogation à l’exclusivité dont bénéficie le titulaire, le Sénat s’autorise, à titre exceptionnel et pour des produits </w:t>
      </w:r>
      <w:r w:rsidR="002D5313">
        <w:t xml:space="preserve">spécifiques </w:t>
      </w:r>
      <w:r>
        <w:t xml:space="preserve">qui ne figureraient pas au </w:t>
      </w:r>
      <w:r w:rsidR="002D5313">
        <w:t>BPU</w:t>
      </w:r>
      <w:r>
        <w:t xml:space="preserve"> ni au catalogue du titulaire, à acquérir </w:t>
      </w:r>
      <w:r w:rsidR="00407ADB">
        <w:t>c</w:t>
      </w:r>
      <w:r>
        <w:t xml:space="preserve">es produits auprès d’un autre prestataire que le titulaire. Cette faculté est limitée à des volumes d’achat </w:t>
      </w:r>
      <w:r w:rsidR="00407ADB">
        <w:t>de faible importance</w:t>
      </w:r>
      <w:r w:rsidR="00E36ACC">
        <w:t xml:space="preserve"> au regard du montant global du marché</w:t>
      </w:r>
      <w:r>
        <w:t>.</w:t>
      </w:r>
    </w:p>
    <w:p w14:paraId="59050496" w14:textId="77777777" w:rsidR="00BD2DED" w:rsidRPr="00BD2DED" w:rsidRDefault="00BD2DED" w:rsidP="00F367B2">
      <w:pPr>
        <w:pStyle w:val="1Article"/>
      </w:pPr>
      <w:bookmarkStart w:id="170" w:name="_Toc231026701"/>
      <w:bookmarkStart w:id="171" w:name="_Toc236020556"/>
      <w:bookmarkStart w:id="172" w:name="_Toc242179746"/>
      <w:bookmarkStart w:id="173" w:name="_Toc327459795"/>
      <w:bookmarkStart w:id="174" w:name="_Toc333566309"/>
      <w:bookmarkStart w:id="175" w:name="_Toc90473413"/>
      <w:bookmarkStart w:id="176" w:name="_Toc222388756"/>
      <w:r w:rsidRPr="00BD2DED">
        <w:lastRenderedPageBreak/>
        <w:t>admission</w:t>
      </w:r>
      <w:bookmarkEnd w:id="170"/>
      <w:bookmarkEnd w:id="171"/>
      <w:bookmarkEnd w:id="172"/>
      <w:bookmarkEnd w:id="173"/>
      <w:bookmarkEnd w:id="174"/>
      <w:bookmarkEnd w:id="175"/>
      <w:bookmarkEnd w:id="176"/>
    </w:p>
    <w:p w14:paraId="308DC856" w14:textId="107FB298" w:rsidR="00BD2DED" w:rsidRPr="00BD2DED" w:rsidRDefault="00BD2DED" w:rsidP="00F50C0B">
      <w:pPr>
        <w:pStyle w:val="Paragraphetexte"/>
      </w:pPr>
      <w:r w:rsidRPr="00BD2DED">
        <w:t>Les prestations doivent correspondre, sous peine de refus, aux caractéristiques techniques définies dans le cahier des clauses techniques particulières</w:t>
      </w:r>
      <w:r w:rsidR="00F50C0B">
        <w:t xml:space="preserve"> (CCTP)</w:t>
      </w:r>
      <w:r w:rsidRPr="00BD2DED">
        <w:t>. Ils doivent être conformes à la commande passée.</w:t>
      </w:r>
    </w:p>
    <w:p w14:paraId="4A4B4D8E" w14:textId="77777777" w:rsidR="00BD2DED" w:rsidRPr="00BD2DED" w:rsidRDefault="00BD2DED" w:rsidP="00F50C0B">
      <w:pPr>
        <w:pStyle w:val="1Article"/>
      </w:pPr>
      <w:bookmarkStart w:id="177" w:name="_Toc90473414"/>
      <w:bookmarkStart w:id="178" w:name="_Toc222388757"/>
      <w:r w:rsidRPr="00BD2DED">
        <w:t>modalités de règlement</w:t>
      </w:r>
      <w:bookmarkEnd w:id="122"/>
      <w:bookmarkEnd w:id="123"/>
      <w:bookmarkEnd w:id="177"/>
      <w:bookmarkEnd w:id="178"/>
    </w:p>
    <w:p w14:paraId="45EB10E9" w14:textId="77777777" w:rsidR="00BD2DED" w:rsidRPr="00500F35" w:rsidRDefault="00BD2DED" w:rsidP="00500F35">
      <w:pPr>
        <w:pStyle w:val="Paragraphetexte"/>
      </w:pPr>
      <w:r w:rsidRPr="00500F35">
        <w:t>Le prix de règlement est déterminé par application des prix unitaires figurant à l’annexe de l’acte d’engagement (bordereau de prix unitaires) aux quantités exécutées conformément aux bons de commande émis par le Sénat.</w:t>
      </w:r>
    </w:p>
    <w:p w14:paraId="65F489B1" w14:textId="7FB7C173" w:rsidR="00BD2DED" w:rsidRPr="00500F35" w:rsidRDefault="00500F35" w:rsidP="00500F35">
      <w:pPr>
        <w:pStyle w:val="Paragraphetexte"/>
      </w:pPr>
      <w:r w:rsidRPr="00500F35">
        <w:t>Par dérogation à l’article 10.2.2 du CCAG-FCS, l</w:t>
      </w:r>
      <w:r w:rsidR="00BD2DED" w:rsidRPr="00500F35">
        <w:t xml:space="preserve">e prix de règlement hors taxes est toujours </w:t>
      </w:r>
      <w:r w:rsidRPr="00500F35">
        <w:t>le</w:t>
      </w:r>
      <w:r w:rsidR="00BD2DED" w:rsidRPr="00500F35">
        <w:t xml:space="preserve"> prix en vigueur à la date d</w:t>
      </w:r>
      <w:r w:rsidRPr="00500F35">
        <w:t>’émission de l</w:t>
      </w:r>
      <w:r w:rsidR="00BD2DED" w:rsidRPr="00500F35">
        <w:t>a commande.</w:t>
      </w:r>
    </w:p>
    <w:p w14:paraId="71533D57" w14:textId="77777777" w:rsidR="00BD2DED" w:rsidRPr="00500F35" w:rsidRDefault="00BD2DED" w:rsidP="00500F35">
      <w:pPr>
        <w:pStyle w:val="Paragraphetexte"/>
      </w:pPr>
      <w:r w:rsidRPr="00500F35">
        <w:t>Le règlement s’effectue après constatation du service fait, sur présentation d’une facture relative à la prestation exécutée.</w:t>
      </w:r>
    </w:p>
    <w:p w14:paraId="21651DFB" w14:textId="77777777" w:rsidR="00BD2DED" w:rsidRPr="00BD2DED" w:rsidRDefault="00BD2DED" w:rsidP="00500F35">
      <w:pPr>
        <w:pStyle w:val="1Article"/>
      </w:pPr>
      <w:bookmarkStart w:id="179" w:name="_Toc43883246"/>
      <w:bookmarkStart w:id="180" w:name="_Toc90473415"/>
      <w:bookmarkStart w:id="181" w:name="_Toc222388758"/>
      <w:r w:rsidRPr="00BD2DED">
        <w:t>Facturation</w:t>
      </w:r>
      <w:bookmarkEnd w:id="179"/>
      <w:bookmarkEnd w:id="180"/>
      <w:bookmarkEnd w:id="181"/>
    </w:p>
    <w:p w14:paraId="3F3BE4E6" w14:textId="77777777" w:rsidR="00BD2DED" w:rsidRPr="00BD2DED" w:rsidRDefault="00BD2DED" w:rsidP="00500F35">
      <w:pPr>
        <w:pStyle w:val="2Titre2-RC"/>
      </w:pPr>
      <w:bookmarkStart w:id="182" w:name="_Toc75276362"/>
      <w:bookmarkStart w:id="183" w:name="_Toc75276426"/>
      <w:bookmarkStart w:id="184" w:name="_Toc75276589"/>
      <w:bookmarkStart w:id="185" w:name="_Toc75442150"/>
      <w:bookmarkStart w:id="186" w:name="_Toc76392893"/>
      <w:bookmarkStart w:id="187" w:name="_Toc76394266"/>
      <w:bookmarkStart w:id="188" w:name="_Toc90473416"/>
      <w:bookmarkStart w:id="189" w:name="_Toc222388759"/>
      <w:bookmarkEnd w:id="182"/>
      <w:bookmarkEnd w:id="183"/>
      <w:bookmarkEnd w:id="184"/>
      <w:bookmarkEnd w:id="185"/>
      <w:bookmarkEnd w:id="186"/>
      <w:bookmarkEnd w:id="187"/>
      <w:r w:rsidRPr="00BD2DED">
        <w:t>Facturation</w:t>
      </w:r>
      <w:bookmarkEnd w:id="188"/>
      <w:bookmarkEnd w:id="189"/>
    </w:p>
    <w:p w14:paraId="77C926AA" w14:textId="7209E99C" w:rsidR="00BD2DED" w:rsidRPr="00BD2DED" w:rsidRDefault="00BD2DED" w:rsidP="00500F35">
      <w:pPr>
        <w:pStyle w:val="Paragraphetexte"/>
      </w:pPr>
      <w:r w:rsidRPr="00BD2DED">
        <w:t>Le titulaire transmet ses factures sous forme électronique sur le portail de réception dématérialisée des factures du Sénat, dans les conditions définies à l</w:t>
      </w:r>
      <w:r w:rsidR="009310AE">
        <w:t>’</w:t>
      </w:r>
      <w:r w:rsidRPr="00BD2DED">
        <w:t>arrêté de Questure n° 2020-403 du 26 mai 2020, annexé au présent CCAP.</w:t>
      </w:r>
    </w:p>
    <w:p w14:paraId="7ADD4329" w14:textId="0DEB45B7" w:rsidR="00BD2DED" w:rsidRPr="00BD2DED" w:rsidRDefault="00BD2DED" w:rsidP="00500F35">
      <w:pPr>
        <w:pStyle w:val="Paragraphetexte"/>
      </w:pPr>
      <w:r w:rsidRPr="00BD2DED">
        <w:t>La transmission d</w:t>
      </w:r>
      <w:r w:rsidR="009310AE">
        <w:t>’</w:t>
      </w:r>
      <w:r w:rsidRPr="00BD2DED">
        <w:t>une facture par tout autre moyen que ce portail emporte rejet de la facture.</w:t>
      </w:r>
    </w:p>
    <w:p w14:paraId="15668265" w14:textId="06C432CB" w:rsidR="00BD2DED" w:rsidRPr="00BD2DED" w:rsidRDefault="00BD2DED" w:rsidP="00500F35">
      <w:pPr>
        <w:pStyle w:val="Paragraphetexte"/>
      </w:pPr>
      <w:r w:rsidRPr="00BD2DED">
        <w:t>La date de réception d</w:t>
      </w:r>
      <w:r w:rsidR="009310AE">
        <w:t>’</w:t>
      </w:r>
      <w:r w:rsidRPr="00BD2DED">
        <w:t>une demande de paiement transmise par voie électronique correspond à la date de notification du message électronique informant l’acheteur de la mise à disposition de la facture sur le portail de facturation (ou, le cas échéant pour l’État, à la date d’horodatage de la facture par le système d’information budgétaire et comptable pour une facture transmise par échange de données informatisé).</w:t>
      </w:r>
    </w:p>
    <w:p w14:paraId="18A511F8" w14:textId="5A3BAFB0" w:rsidR="00BD2DED" w:rsidRPr="00BD2DED" w:rsidRDefault="00BD2DED" w:rsidP="00500F35">
      <w:pPr>
        <w:pStyle w:val="Paragraphetexte"/>
      </w:pPr>
      <w:r w:rsidRPr="00BD2DED">
        <w:t>Sans préjudice des mentions obligatoires fixées par les dispositions législatives ou réglementaires, le règlement s’effectue après livraison, sur présentation de factures électroniques comportant les mentions obligatoires suivantes</w:t>
      </w:r>
      <w:r w:rsidR="009310AE">
        <w:t> </w:t>
      </w:r>
      <w:r w:rsidRPr="00BD2DED">
        <w:t>:</w:t>
      </w:r>
    </w:p>
    <w:p w14:paraId="11446FF2" w14:textId="47D6CE7F" w:rsidR="00870207" w:rsidRPr="00870207" w:rsidRDefault="00870207" w:rsidP="00870207">
      <w:pPr>
        <w:pStyle w:val="Pucedeparagraphe1"/>
      </w:pPr>
      <w:proofErr w:type="gramStart"/>
      <w:r w:rsidRPr="00870207">
        <w:t>la</w:t>
      </w:r>
      <w:proofErr w:type="gramEnd"/>
      <w:r w:rsidRPr="00870207">
        <w:t xml:space="preserve"> date d’émission de la facture</w:t>
      </w:r>
      <w:r w:rsidR="009310AE">
        <w:t> </w:t>
      </w:r>
      <w:r w:rsidRPr="00870207">
        <w:t>;</w:t>
      </w:r>
    </w:p>
    <w:p w14:paraId="09874A3E" w14:textId="61A87AF4" w:rsidR="00870207" w:rsidRPr="00870207" w:rsidRDefault="00870207" w:rsidP="00870207">
      <w:pPr>
        <w:pStyle w:val="Pucedeparagraphe1"/>
      </w:pPr>
      <w:proofErr w:type="gramStart"/>
      <w:r w:rsidRPr="00870207">
        <w:t>la</w:t>
      </w:r>
      <w:proofErr w:type="gramEnd"/>
      <w:r w:rsidRPr="00870207">
        <w:t xml:space="preserve"> désignation de l’émetteur (nom, forme sociale, adresse, n° de SIRET) et du destinataire de la facture</w:t>
      </w:r>
      <w:r w:rsidR="009310AE">
        <w:t> </w:t>
      </w:r>
      <w:r w:rsidRPr="00870207">
        <w:t>;</w:t>
      </w:r>
    </w:p>
    <w:p w14:paraId="2637F043" w14:textId="6C52D0DD" w:rsidR="00870207" w:rsidRPr="00870207" w:rsidRDefault="00870207" w:rsidP="00870207">
      <w:pPr>
        <w:pStyle w:val="Pucedeparagraphe1"/>
      </w:pPr>
      <w:proofErr w:type="gramStart"/>
      <w:r w:rsidRPr="00870207">
        <w:t>le</w:t>
      </w:r>
      <w:proofErr w:type="gramEnd"/>
      <w:r w:rsidRPr="00870207">
        <w:t xml:space="preserve"> numéro unique fondé sur une séquence chronologique et continue établie par l’émetteur de la facture, la numérotation pouvant être établie dans ces conditions sur une ou plusieurs séries</w:t>
      </w:r>
      <w:r w:rsidR="009310AE">
        <w:t> </w:t>
      </w:r>
      <w:r w:rsidRPr="00870207">
        <w:t>;</w:t>
      </w:r>
    </w:p>
    <w:p w14:paraId="4B08F59C" w14:textId="31771F5A" w:rsidR="00870207" w:rsidRPr="00870207" w:rsidRDefault="00870207" w:rsidP="00870207">
      <w:pPr>
        <w:pStyle w:val="Pucedeparagraphe1"/>
      </w:pPr>
      <w:proofErr w:type="gramStart"/>
      <w:r w:rsidRPr="00870207">
        <w:t>le</w:t>
      </w:r>
      <w:proofErr w:type="gramEnd"/>
      <w:r w:rsidRPr="00870207">
        <w:t xml:space="preserve"> numéro du bon de commande</w:t>
      </w:r>
      <w:r w:rsidR="009310AE">
        <w:t> </w:t>
      </w:r>
      <w:r w:rsidRPr="00870207">
        <w:t>;</w:t>
      </w:r>
    </w:p>
    <w:p w14:paraId="31C32F26" w14:textId="438269BB" w:rsidR="00870207" w:rsidRPr="00870207" w:rsidRDefault="00870207" w:rsidP="00870207">
      <w:pPr>
        <w:pStyle w:val="Pucedeparagraphe1"/>
      </w:pPr>
      <w:proofErr w:type="gramStart"/>
      <w:r w:rsidRPr="00870207">
        <w:t>la</w:t>
      </w:r>
      <w:proofErr w:type="gramEnd"/>
      <w:r w:rsidRPr="00870207">
        <w:t xml:space="preserve"> désignation du payeur, avec l’indication, pour les personnes publiques, du code d’identification du service chargé du paiement</w:t>
      </w:r>
      <w:r w:rsidR="009310AE">
        <w:t> </w:t>
      </w:r>
      <w:r w:rsidRPr="00870207">
        <w:t>;</w:t>
      </w:r>
    </w:p>
    <w:p w14:paraId="27F4979A" w14:textId="280A287E" w:rsidR="00870207" w:rsidRPr="00870207" w:rsidRDefault="00870207" w:rsidP="00870207">
      <w:pPr>
        <w:pStyle w:val="Pucedeparagraphe1"/>
      </w:pPr>
      <w:proofErr w:type="gramStart"/>
      <w:r w:rsidRPr="00870207">
        <w:t>la</w:t>
      </w:r>
      <w:proofErr w:type="gramEnd"/>
      <w:r w:rsidRPr="00870207">
        <w:t xml:space="preserve"> date de livraison des fournitures ou d’exécution des services</w:t>
      </w:r>
      <w:r w:rsidR="009310AE">
        <w:t> </w:t>
      </w:r>
      <w:r w:rsidRPr="00870207">
        <w:t>;</w:t>
      </w:r>
    </w:p>
    <w:p w14:paraId="6D68BDC4" w14:textId="72F46F72" w:rsidR="00870207" w:rsidRPr="00870207" w:rsidRDefault="00870207" w:rsidP="00870207">
      <w:pPr>
        <w:pStyle w:val="Pucedeparagraphe1"/>
      </w:pPr>
      <w:proofErr w:type="gramStart"/>
      <w:r w:rsidRPr="00870207">
        <w:t>la</w:t>
      </w:r>
      <w:proofErr w:type="gramEnd"/>
      <w:r w:rsidRPr="00870207">
        <w:t xml:space="preserve"> quantité et la dénomination précise des produits livrés et des prestations réalisées</w:t>
      </w:r>
      <w:r w:rsidR="009310AE">
        <w:t> </w:t>
      </w:r>
      <w:r w:rsidRPr="00870207">
        <w:t>;</w:t>
      </w:r>
    </w:p>
    <w:p w14:paraId="66450BB3" w14:textId="73C0D625" w:rsidR="00870207" w:rsidRPr="00870207" w:rsidRDefault="00870207" w:rsidP="00870207">
      <w:pPr>
        <w:pStyle w:val="Pucedeparagraphe1"/>
      </w:pPr>
      <w:proofErr w:type="gramStart"/>
      <w:r w:rsidRPr="00870207">
        <w:t>le</w:t>
      </w:r>
      <w:proofErr w:type="gramEnd"/>
      <w:r w:rsidRPr="00870207">
        <w:t xml:space="preserve"> prix unitaire hors taxes des produits livrés et des prestations réalisées</w:t>
      </w:r>
      <w:r w:rsidR="009310AE">
        <w:t> </w:t>
      </w:r>
      <w:r w:rsidRPr="00870207">
        <w:t>;</w:t>
      </w:r>
    </w:p>
    <w:p w14:paraId="01DEC9D8" w14:textId="19CAC935" w:rsidR="00870207" w:rsidRPr="00870207" w:rsidRDefault="00870207" w:rsidP="00870207">
      <w:pPr>
        <w:pStyle w:val="Pucedeparagraphe1"/>
      </w:pPr>
      <w:proofErr w:type="gramStart"/>
      <w:r w:rsidRPr="00870207">
        <w:lastRenderedPageBreak/>
        <w:t>le</w:t>
      </w:r>
      <w:proofErr w:type="gramEnd"/>
      <w:r w:rsidRPr="00870207">
        <w:t xml:space="preserve"> montant total de la facture, le montant total hors taxes et le montant de la taxe à payer, ainsi que la répartition de ces montants par taux de taxe sur la valeur ajoutée, ou, le cas échéant, le bénéfice d’une exonération</w:t>
      </w:r>
      <w:r w:rsidR="009310AE">
        <w:t> </w:t>
      </w:r>
      <w:r w:rsidRPr="00870207">
        <w:t>;</w:t>
      </w:r>
    </w:p>
    <w:p w14:paraId="5AF20197" w14:textId="73603147" w:rsidR="00870207" w:rsidRPr="00870207" w:rsidRDefault="00870207" w:rsidP="00870207">
      <w:pPr>
        <w:pStyle w:val="Pucedeparagraphe1"/>
      </w:pPr>
      <w:proofErr w:type="gramStart"/>
      <w:r w:rsidRPr="00870207">
        <w:t>l’identification</w:t>
      </w:r>
      <w:proofErr w:type="gramEnd"/>
      <w:r w:rsidRPr="00870207">
        <w:t>, le cas échéant, du représentant fiscal de l’émetteur de la facture</w:t>
      </w:r>
      <w:r w:rsidR="009310AE">
        <w:t> </w:t>
      </w:r>
      <w:r w:rsidRPr="00870207">
        <w:t>;</w:t>
      </w:r>
    </w:p>
    <w:p w14:paraId="1133D873" w14:textId="1EB1982E" w:rsidR="00870207" w:rsidRPr="00870207" w:rsidRDefault="00870207" w:rsidP="00870207">
      <w:pPr>
        <w:pStyle w:val="Pucedeparagraphe1"/>
      </w:pPr>
      <w:proofErr w:type="gramStart"/>
      <w:r w:rsidRPr="00870207">
        <w:t>la</w:t>
      </w:r>
      <w:proofErr w:type="gramEnd"/>
      <w:r w:rsidRPr="00870207">
        <w:t xml:space="preserve"> date à laquelle le règlement doit intervenir</w:t>
      </w:r>
      <w:r w:rsidR="009310AE">
        <w:t> </w:t>
      </w:r>
      <w:r w:rsidRPr="00870207">
        <w:t>;</w:t>
      </w:r>
    </w:p>
    <w:p w14:paraId="0D036F0D" w14:textId="77777777" w:rsidR="00870207" w:rsidRPr="00870207" w:rsidRDefault="00870207" w:rsidP="00870207">
      <w:pPr>
        <w:pStyle w:val="Pucedeparagraphe1"/>
      </w:pPr>
      <w:proofErr w:type="gramStart"/>
      <w:r w:rsidRPr="00870207">
        <w:t>le</w:t>
      </w:r>
      <w:proofErr w:type="gramEnd"/>
      <w:r w:rsidRPr="00870207">
        <w:t xml:space="preserve"> cas échéant, les modalités de règlement.</w:t>
      </w:r>
    </w:p>
    <w:p w14:paraId="56645BC9" w14:textId="41E5B01E" w:rsidR="00BD2DED" w:rsidRPr="00870207" w:rsidRDefault="00BD2DED" w:rsidP="00870207">
      <w:pPr>
        <w:pStyle w:val="Paragraphetexte"/>
      </w:pPr>
      <w:r w:rsidRPr="00870207">
        <w:t>Les factures comportent en outre les numéros d</w:t>
      </w:r>
      <w:r w:rsidR="009310AE">
        <w:t>’</w:t>
      </w:r>
      <w:r w:rsidRPr="00870207">
        <w:t>identité de l</w:t>
      </w:r>
      <w:r w:rsidR="009310AE">
        <w:t>’</w:t>
      </w:r>
      <w:r w:rsidRPr="00870207">
        <w:t>émetteur et du destinataire de la facture, attribués à chaque établissement concerné ou, à défaut, à chaque personne en application de l</w:t>
      </w:r>
      <w:r w:rsidR="009310AE">
        <w:t>’</w:t>
      </w:r>
      <w:r w:rsidRPr="00870207">
        <w:t>article R. 123-221 du code de commerce.</w:t>
      </w:r>
    </w:p>
    <w:p w14:paraId="6321FFFD" w14:textId="77777777" w:rsidR="00BD2DED" w:rsidRPr="00BD2DED" w:rsidRDefault="00BD2DED" w:rsidP="00870207">
      <w:pPr>
        <w:pStyle w:val="2Titre2-RC"/>
      </w:pPr>
      <w:bookmarkStart w:id="190" w:name="_Toc75176766"/>
      <w:bookmarkStart w:id="191" w:name="_Toc75176767"/>
      <w:bookmarkStart w:id="192" w:name="_Toc75176773"/>
      <w:bookmarkStart w:id="193" w:name="_Toc75176774"/>
      <w:bookmarkStart w:id="194" w:name="_Toc43883247"/>
      <w:bookmarkStart w:id="195" w:name="_Toc90473417"/>
      <w:bookmarkStart w:id="196" w:name="_Toc222388760"/>
      <w:bookmarkEnd w:id="190"/>
      <w:bookmarkEnd w:id="191"/>
      <w:bookmarkEnd w:id="192"/>
      <w:bookmarkEnd w:id="193"/>
      <w:r w:rsidRPr="00BD2DED">
        <w:t>Délais de paiement et intérêts moratoires</w:t>
      </w:r>
      <w:bookmarkEnd w:id="194"/>
      <w:bookmarkEnd w:id="195"/>
      <w:bookmarkEnd w:id="196"/>
    </w:p>
    <w:p w14:paraId="2A66822D" w14:textId="77777777" w:rsidR="00BD2DED" w:rsidRPr="00BD2DED" w:rsidRDefault="00BD2DED" w:rsidP="00870207">
      <w:pPr>
        <w:pStyle w:val="Paragraphetexte"/>
      </w:pPr>
      <w:r w:rsidRPr="00BD2DED">
        <w:t>Le paiement est effectué sur présentation de factures sous réserve de leur acceptation dans un délai maximal de trente (30) jours, par virement sur le compte du titulaire. En cas de retard, le taux des intérêts moratoires applicable est le taux de refinancement de la Banque centrale européenne en vigueur à la date à laquelle lesdits intérêts ont commencé à courir, augmenté de huit points. En outre, le titulaire percevra l’indemnité forfaitaire pour frais de recouvrement de 40 euros prévue aux articles L. 2192-13 et D. 2192-35 du code de la commande publique.</w:t>
      </w:r>
    </w:p>
    <w:p w14:paraId="399CB617" w14:textId="77777777" w:rsidR="00BD2DED" w:rsidRPr="00BD2DED" w:rsidRDefault="00BD2DED" w:rsidP="00870207">
      <w:pPr>
        <w:pStyle w:val="Paragraphetexte"/>
      </w:pPr>
      <w:r w:rsidRPr="00BD2DED">
        <w:t>Le comptable public assignataire des paiements est Monsieur le Trésorier du Sénat.</w:t>
      </w:r>
    </w:p>
    <w:p w14:paraId="4C025D9B" w14:textId="77777777" w:rsidR="00BD2DED" w:rsidRPr="00BD2DED" w:rsidRDefault="00BD2DED" w:rsidP="00870207">
      <w:pPr>
        <w:pStyle w:val="1Article"/>
      </w:pPr>
      <w:bookmarkStart w:id="197" w:name="_Toc333566310"/>
      <w:bookmarkStart w:id="198" w:name="_Toc90473418"/>
      <w:bookmarkStart w:id="199" w:name="_Toc222388761"/>
      <w:r w:rsidRPr="00BD2DED">
        <w:t>retards et pénalités</w:t>
      </w:r>
      <w:bookmarkEnd w:id="197"/>
      <w:bookmarkEnd w:id="198"/>
      <w:bookmarkEnd w:id="199"/>
    </w:p>
    <w:p w14:paraId="11CDE791" w14:textId="46EFE988" w:rsidR="00BD2DED" w:rsidRPr="00BD2DED" w:rsidRDefault="00BD2DED" w:rsidP="00870207">
      <w:pPr>
        <w:pStyle w:val="Paragraphetexte"/>
      </w:pPr>
      <w:r w:rsidRPr="00BD2DED">
        <w:t>En cas de défaillance dans l’exécution des prestations telles que prévues dans les pièces du marché et, par dérogation à l’article 14</w:t>
      </w:r>
      <w:r w:rsidR="00414654">
        <w:t>.</w:t>
      </w:r>
      <w:r w:rsidRPr="00BD2DED">
        <w:t>1 du CCAG-FCS, les pénalités, qui seront mises en œuvre sans mise en demeure préalable</w:t>
      </w:r>
      <w:r w:rsidR="00870207">
        <w:t xml:space="preserve"> par le Directeur de la Logistique et des Moyens généraux</w:t>
      </w:r>
      <w:r w:rsidRPr="00BD2DED">
        <w:t>, sont présentées dans les tableaux ci</w:t>
      </w:r>
      <w:r w:rsidRPr="00BD2DED">
        <w:noBreakHyphen/>
        <w:t>après.</w:t>
      </w:r>
    </w:p>
    <w:p w14:paraId="23395A81" w14:textId="77777777" w:rsidR="00BD2DED" w:rsidRPr="00BD2DED" w:rsidRDefault="00BD2DED" w:rsidP="00870207">
      <w:pPr>
        <w:pStyle w:val="Paragraphetexte"/>
      </w:pPr>
      <w:r w:rsidRPr="00BD2DED">
        <w:t>Les pénalités ne sont pas assujetties à la TVA.</w:t>
      </w:r>
    </w:p>
    <w:p w14:paraId="6A51BC82" w14:textId="77777777" w:rsidR="00BD2DED" w:rsidRPr="00BD2DED" w:rsidRDefault="00BD2DED" w:rsidP="00870207">
      <w:pPr>
        <w:pStyle w:val="2Titre2-RC"/>
      </w:pPr>
      <w:bookmarkStart w:id="200" w:name="_Toc90473419"/>
      <w:bookmarkStart w:id="201" w:name="_Toc222388762"/>
      <w:r w:rsidRPr="00BD2DED">
        <w:t>Pénalités</w:t>
      </w:r>
      <w:bookmarkEnd w:id="200"/>
      <w:bookmarkEnd w:id="201"/>
    </w:p>
    <w:tbl>
      <w:tblPr>
        <w:tblStyle w:val="Grilledutableau"/>
        <w:tblW w:w="0" w:type="auto"/>
        <w:tblLook w:val="04A0" w:firstRow="1" w:lastRow="0" w:firstColumn="1" w:lastColumn="0" w:noHBand="0" w:noVBand="1"/>
      </w:tblPr>
      <w:tblGrid>
        <w:gridCol w:w="5096"/>
        <w:gridCol w:w="3399"/>
      </w:tblGrid>
      <w:tr w:rsidR="00BD2DED" w:rsidRPr="00BD2DED" w14:paraId="4CB3ED2E" w14:textId="77777777" w:rsidTr="00870207">
        <w:trPr>
          <w:trHeight w:val="20"/>
        </w:trPr>
        <w:tc>
          <w:tcPr>
            <w:tcW w:w="5096" w:type="dxa"/>
          </w:tcPr>
          <w:p w14:paraId="5CB9C987" w14:textId="776B855C" w:rsidR="00BD2DED" w:rsidRPr="00BD2DED" w:rsidRDefault="00870207" w:rsidP="00870207">
            <w:pPr>
              <w:pStyle w:val="TTableauTitre"/>
            </w:pPr>
            <w:r>
              <w:t>Manquement</w:t>
            </w:r>
            <w:r w:rsidR="00BD2DED" w:rsidRPr="00BD2DED">
              <w:t>s</w:t>
            </w:r>
          </w:p>
        </w:tc>
        <w:tc>
          <w:tcPr>
            <w:tcW w:w="3399" w:type="dxa"/>
          </w:tcPr>
          <w:p w14:paraId="5E751503" w14:textId="4B39E6BD" w:rsidR="00BD2DED" w:rsidRPr="00BD2DED" w:rsidRDefault="00BD2DED" w:rsidP="00870207">
            <w:pPr>
              <w:pStyle w:val="TTableauTitre"/>
            </w:pPr>
            <w:r w:rsidRPr="00BD2DED">
              <w:t>Pénalités</w:t>
            </w:r>
            <w:r w:rsidR="00870207">
              <w:t xml:space="preserve"> (par manquement ou par jour de retard)</w:t>
            </w:r>
          </w:p>
        </w:tc>
      </w:tr>
      <w:tr w:rsidR="00870207" w:rsidRPr="00BD2DED" w14:paraId="09C1AF39" w14:textId="77777777" w:rsidTr="00B45D35">
        <w:trPr>
          <w:trHeight w:val="20"/>
        </w:trPr>
        <w:tc>
          <w:tcPr>
            <w:tcW w:w="5096" w:type="dxa"/>
          </w:tcPr>
          <w:p w14:paraId="2D9ED66D" w14:textId="0D9272F8" w:rsidR="00870207" w:rsidRPr="00BD2DED" w:rsidRDefault="00870207" w:rsidP="00870207">
            <w:pPr>
              <w:pStyle w:val="T3TableauTexte"/>
            </w:pPr>
            <w:r w:rsidRPr="00794FE4">
              <w:t>Sous-traitance non déclarée</w:t>
            </w:r>
          </w:p>
        </w:tc>
        <w:tc>
          <w:tcPr>
            <w:tcW w:w="3399" w:type="dxa"/>
          </w:tcPr>
          <w:p w14:paraId="4194EFD6" w14:textId="465139EF" w:rsidR="00870207" w:rsidRPr="00BD2DED" w:rsidRDefault="00870207" w:rsidP="00870207">
            <w:pPr>
              <w:pStyle w:val="T3TableauTexte"/>
            </w:pPr>
            <w:r w:rsidRPr="00794FE4">
              <w:t>1 500 euros par manquement</w:t>
            </w:r>
          </w:p>
        </w:tc>
      </w:tr>
      <w:tr w:rsidR="00870207" w:rsidRPr="00BD2DED" w14:paraId="79B6C7E7" w14:textId="77777777" w:rsidTr="00870207">
        <w:trPr>
          <w:trHeight w:val="20"/>
        </w:trPr>
        <w:tc>
          <w:tcPr>
            <w:tcW w:w="5096" w:type="dxa"/>
          </w:tcPr>
          <w:p w14:paraId="5AC3494D" w14:textId="400C1893" w:rsidR="00870207" w:rsidRPr="00BD2DED" w:rsidRDefault="00870207" w:rsidP="00870207">
            <w:pPr>
              <w:pStyle w:val="T3TableauTexte"/>
            </w:pPr>
            <w:r w:rsidRPr="00AD2BDA">
              <w:t>Défaut d’interlocuteur pour veiller à la bonne exécution du marché</w:t>
            </w:r>
          </w:p>
        </w:tc>
        <w:tc>
          <w:tcPr>
            <w:tcW w:w="3399" w:type="dxa"/>
          </w:tcPr>
          <w:p w14:paraId="10DFEDE9" w14:textId="48AA043D" w:rsidR="00870207" w:rsidRPr="00BD2DED" w:rsidRDefault="00870207" w:rsidP="00870207">
            <w:pPr>
              <w:pStyle w:val="T3TableauTexte"/>
            </w:pPr>
            <w:r w:rsidRPr="00AD2BDA">
              <w:t xml:space="preserve">200 </w:t>
            </w:r>
            <w:r>
              <w:t>euros</w:t>
            </w:r>
          </w:p>
        </w:tc>
      </w:tr>
      <w:tr w:rsidR="00BD2DED" w:rsidRPr="00BD2DED" w14:paraId="508D22F1" w14:textId="77777777" w:rsidTr="00870207">
        <w:trPr>
          <w:trHeight w:val="20"/>
        </w:trPr>
        <w:tc>
          <w:tcPr>
            <w:tcW w:w="5096" w:type="dxa"/>
            <w:vAlign w:val="center"/>
          </w:tcPr>
          <w:p w14:paraId="666BE64F" w14:textId="245D05DE" w:rsidR="00BD2DED" w:rsidRPr="00BD2DED" w:rsidRDefault="00BD2DED" w:rsidP="00870207">
            <w:pPr>
              <w:pStyle w:val="T3TableauTexte"/>
            </w:pPr>
            <w:r w:rsidRPr="00BD2DED">
              <w:t xml:space="preserve">Retard dans la livraison </w:t>
            </w:r>
            <w:r w:rsidR="009310AE">
              <w:t>–</w:t>
            </w:r>
            <w:r w:rsidRPr="00BD2DED">
              <w:t xml:space="preserve"> Livraison non conforme – Livraison partielle non autorisée</w:t>
            </w:r>
          </w:p>
        </w:tc>
        <w:tc>
          <w:tcPr>
            <w:tcW w:w="3399" w:type="dxa"/>
            <w:vAlign w:val="center"/>
          </w:tcPr>
          <w:p w14:paraId="546F6546" w14:textId="7D5557E4" w:rsidR="00BD2DED" w:rsidRPr="00BD2DED" w:rsidRDefault="00BD2DED" w:rsidP="00870207">
            <w:pPr>
              <w:pStyle w:val="T3TableauTexte"/>
            </w:pPr>
            <w:r w:rsidRPr="00BD2DED">
              <w:t xml:space="preserve">50 </w:t>
            </w:r>
            <w:r w:rsidR="00870207">
              <w:t>euros</w:t>
            </w:r>
            <w:r w:rsidRPr="00BD2DED">
              <w:t xml:space="preserve"> par jour ouvré de retard ou de non-conformité</w:t>
            </w:r>
          </w:p>
        </w:tc>
      </w:tr>
      <w:tr w:rsidR="00870207" w:rsidRPr="00BD2DED" w14:paraId="3C04930C" w14:textId="77777777" w:rsidTr="00B65771">
        <w:trPr>
          <w:trHeight w:val="20"/>
        </w:trPr>
        <w:tc>
          <w:tcPr>
            <w:tcW w:w="5096" w:type="dxa"/>
          </w:tcPr>
          <w:p w14:paraId="48E980BE" w14:textId="6051DB6A" w:rsidR="00870207" w:rsidRPr="00BD2DED" w:rsidRDefault="00870207" w:rsidP="00870207">
            <w:pPr>
              <w:pStyle w:val="T3TableauTexte"/>
            </w:pPr>
            <w:r w:rsidRPr="00457EBE">
              <w:t>Manquement aux obligations de remise de documents nécessaires à la gestion administrative ou financière du marché (demandes de devis, défaut d’attestation d’assurance, etc.)</w:t>
            </w:r>
          </w:p>
        </w:tc>
        <w:tc>
          <w:tcPr>
            <w:tcW w:w="3399" w:type="dxa"/>
          </w:tcPr>
          <w:p w14:paraId="6EB792FB" w14:textId="77777777" w:rsidR="00870207" w:rsidRDefault="00870207" w:rsidP="00870207">
            <w:pPr>
              <w:pStyle w:val="T3TableauTexte"/>
            </w:pPr>
            <w:r w:rsidRPr="00457EBE">
              <w:t>100 euros par manquement et par document</w:t>
            </w:r>
          </w:p>
          <w:p w14:paraId="40FCC454" w14:textId="0F91A75F" w:rsidR="00870207" w:rsidRPr="00BD2DED" w:rsidRDefault="00870207" w:rsidP="00870207">
            <w:pPr>
              <w:pStyle w:val="T3TableauTexte"/>
            </w:pPr>
            <w:r w:rsidRPr="00870207">
              <w:t>+ 50 euros par jour ouvré de retard supplémentaire à compter du deuxième jour</w:t>
            </w:r>
          </w:p>
        </w:tc>
      </w:tr>
      <w:tr w:rsidR="00870207" w:rsidRPr="00BD2DED" w14:paraId="1D489E0F" w14:textId="77777777" w:rsidTr="00B65771">
        <w:trPr>
          <w:trHeight w:val="20"/>
        </w:trPr>
        <w:tc>
          <w:tcPr>
            <w:tcW w:w="5096" w:type="dxa"/>
          </w:tcPr>
          <w:p w14:paraId="0BFA02ED" w14:textId="0555FA50" w:rsidR="00870207" w:rsidRPr="00BD2DED" w:rsidRDefault="00870207" w:rsidP="00870207">
            <w:pPr>
              <w:pStyle w:val="T3TableauTexte"/>
            </w:pPr>
            <w:r w:rsidRPr="00EE20DD">
              <w:t xml:space="preserve">Tout autre manquement à une stipulation du marché (manquement à l’obligation d’informer le Sénat d’un changement de statut, obligation de discrétion </w:t>
            </w:r>
            <w:r w:rsidRPr="00EE20DD">
              <w:lastRenderedPageBreak/>
              <w:t>professionnelle, etc.)</w:t>
            </w:r>
          </w:p>
        </w:tc>
        <w:tc>
          <w:tcPr>
            <w:tcW w:w="3399" w:type="dxa"/>
          </w:tcPr>
          <w:p w14:paraId="114EF639" w14:textId="4E7089A8" w:rsidR="00870207" w:rsidRPr="00BD2DED" w:rsidRDefault="00870207" w:rsidP="00870207">
            <w:pPr>
              <w:pStyle w:val="T3TableauTexte"/>
            </w:pPr>
            <w:r w:rsidRPr="00EE20DD">
              <w:lastRenderedPageBreak/>
              <w:t>100 euros par manquement</w:t>
            </w:r>
          </w:p>
        </w:tc>
      </w:tr>
    </w:tbl>
    <w:p w14:paraId="518262B3" w14:textId="6F73D7A0" w:rsidR="00BD2DED" w:rsidRPr="00870207" w:rsidRDefault="00BD2DED" w:rsidP="00870207">
      <w:pPr>
        <w:pStyle w:val="Paragraphetexte"/>
        <w:spacing w:before="240"/>
      </w:pPr>
      <w:bookmarkStart w:id="202" w:name="_Toc75442158"/>
      <w:bookmarkStart w:id="203" w:name="_Toc76392901"/>
      <w:bookmarkStart w:id="204" w:name="_Toc76394274"/>
      <w:bookmarkStart w:id="205" w:name="_Toc84423278"/>
      <w:bookmarkEnd w:id="202"/>
      <w:bookmarkEnd w:id="203"/>
      <w:bookmarkEnd w:id="204"/>
      <w:r w:rsidRPr="00870207">
        <w:t>Par dérogation à l’article 14.1.3 du CCAG-FCS, le titulaire n’est pas exonéré du paiement des pénalités si celles-ci sont inférieures à 1 000 euros </w:t>
      </w:r>
      <w:r w:rsidR="00870207" w:rsidRPr="00870207">
        <w:t>hors taxes</w:t>
      </w:r>
      <w:r w:rsidRPr="00870207">
        <w:t>. Elles sont directement imputées sur la facture correspondant aux prestations livrées hors délais. Ces pénalités sont reportables, en tant que de besoin, sur les factures suivantes.</w:t>
      </w:r>
    </w:p>
    <w:p w14:paraId="12113D21" w14:textId="6D183796" w:rsidR="00BD2DED" w:rsidRPr="00870207" w:rsidRDefault="00BD2DED" w:rsidP="00870207">
      <w:pPr>
        <w:pStyle w:val="Paragraphetexte"/>
      </w:pPr>
      <w:r w:rsidRPr="00870207">
        <w:t xml:space="preserve">Les pénalités ci-dessus ne s’appliquent pas aux livraisons dont le retard serait imputable </w:t>
      </w:r>
      <w:r w:rsidR="00870207" w:rsidRPr="00870207">
        <w:t>au</w:t>
      </w:r>
      <w:r w:rsidRPr="00870207">
        <w:t xml:space="preserve"> Sénat</w:t>
      </w:r>
      <w:r w:rsidR="00870207" w:rsidRPr="00870207">
        <w:t xml:space="preserve"> ou à un cas de force majeure tel que défini par la jurisprudence administrative</w:t>
      </w:r>
      <w:r w:rsidRPr="00870207">
        <w:t>.</w:t>
      </w:r>
    </w:p>
    <w:p w14:paraId="3A62D522" w14:textId="77777777" w:rsidR="00BD2DED" w:rsidRPr="00BD2DED" w:rsidRDefault="00BD2DED" w:rsidP="00870207">
      <w:pPr>
        <w:pStyle w:val="2Titre2-RC"/>
      </w:pPr>
      <w:bookmarkStart w:id="206" w:name="_Toc90473420"/>
      <w:bookmarkStart w:id="207" w:name="_Toc222388763"/>
      <w:r w:rsidRPr="00BD2DED">
        <w:t>Pénalités pour non-respect des exigences environnementales</w:t>
      </w:r>
      <w:bookmarkEnd w:id="205"/>
      <w:bookmarkEnd w:id="206"/>
      <w:bookmarkEnd w:id="207"/>
    </w:p>
    <w:p w14:paraId="7C975164" w14:textId="7CDEDAEC" w:rsidR="00BD2DED" w:rsidRPr="00BD2DED" w:rsidRDefault="00BD2DED" w:rsidP="00870207">
      <w:pPr>
        <w:pStyle w:val="Paragraphetexte"/>
      </w:pPr>
      <w:r w:rsidRPr="00BD2DED">
        <w:t>En cas de non-respect des clauses environnementales telles que prévues dans les pièces du marché et, par dérogation à l’article 16.2 du CCAG-FCS, les pénalités seront mises en œuvre sans mise en demeure préalable. Elles sont présentées dans le tableau ci</w:t>
      </w:r>
      <w:r w:rsidRPr="00BD2DED">
        <w:noBreakHyphen/>
        <w:t>après.</w:t>
      </w:r>
    </w:p>
    <w:p w14:paraId="11051E20" w14:textId="77777777" w:rsidR="00BD2DED" w:rsidRPr="00BD2DED" w:rsidRDefault="00BD2DED" w:rsidP="00870207">
      <w:pPr>
        <w:pStyle w:val="Paragraphetexte"/>
        <w:rPr>
          <w:iCs/>
        </w:rPr>
      </w:pPr>
      <w:r w:rsidRPr="00BD2DED">
        <w:t>Les pénalités ne sont pas assujetties à la TVA.</w:t>
      </w:r>
    </w:p>
    <w:tbl>
      <w:tblPr>
        <w:tblStyle w:val="Grilledutableau"/>
        <w:tblW w:w="0" w:type="auto"/>
        <w:tblLook w:val="04A0" w:firstRow="1" w:lastRow="0" w:firstColumn="1" w:lastColumn="0" w:noHBand="0" w:noVBand="1"/>
      </w:tblPr>
      <w:tblGrid>
        <w:gridCol w:w="5116"/>
        <w:gridCol w:w="3379"/>
      </w:tblGrid>
      <w:tr w:rsidR="00BD2DED" w:rsidRPr="00BD2DED" w14:paraId="0FDC5006" w14:textId="77777777" w:rsidTr="0081420A">
        <w:trPr>
          <w:trHeight w:val="20"/>
        </w:trPr>
        <w:tc>
          <w:tcPr>
            <w:tcW w:w="5353" w:type="dxa"/>
          </w:tcPr>
          <w:p w14:paraId="0C615E70" w14:textId="77777777" w:rsidR="00BD2DED" w:rsidRPr="00BD2DED" w:rsidRDefault="00BD2DED" w:rsidP="00870207">
            <w:pPr>
              <w:pStyle w:val="T2Tableautitrecolonne"/>
            </w:pPr>
            <w:r w:rsidRPr="00BD2DED">
              <w:t>Opérations</w:t>
            </w:r>
          </w:p>
        </w:tc>
        <w:tc>
          <w:tcPr>
            <w:tcW w:w="3544" w:type="dxa"/>
          </w:tcPr>
          <w:p w14:paraId="0E7093A1" w14:textId="77777777" w:rsidR="00BD2DED" w:rsidRPr="00BD2DED" w:rsidRDefault="00BD2DED" w:rsidP="00870207">
            <w:pPr>
              <w:pStyle w:val="T2Tableautitrecolonne"/>
            </w:pPr>
            <w:r w:rsidRPr="00BD2DED">
              <w:t>Pénalités</w:t>
            </w:r>
          </w:p>
        </w:tc>
      </w:tr>
      <w:tr w:rsidR="00BD2DED" w:rsidRPr="00BD2DED" w14:paraId="7FE46366" w14:textId="77777777" w:rsidTr="0081420A">
        <w:trPr>
          <w:trHeight w:val="20"/>
        </w:trPr>
        <w:tc>
          <w:tcPr>
            <w:tcW w:w="5353" w:type="dxa"/>
            <w:vAlign w:val="center"/>
          </w:tcPr>
          <w:p w14:paraId="11F6A311" w14:textId="77777777" w:rsidR="00BD2DED" w:rsidRPr="00BD2DED" w:rsidRDefault="00BD2DED" w:rsidP="00870207">
            <w:pPr>
              <w:pStyle w:val="T3TableauTexte"/>
            </w:pPr>
            <w:r w:rsidRPr="00BD2DED">
              <w:t>Non-respect des engagements environnementaux (produits, emballages, recyclage)</w:t>
            </w:r>
          </w:p>
        </w:tc>
        <w:tc>
          <w:tcPr>
            <w:tcW w:w="3544" w:type="dxa"/>
            <w:vAlign w:val="center"/>
          </w:tcPr>
          <w:p w14:paraId="3DDA6F16" w14:textId="77777777" w:rsidR="00BD2DED" w:rsidRPr="00BD2DED" w:rsidRDefault="00BD2DED" w:rsidP="00870207">
            <w:pPr>
              <w:pStyle w:val="T3TableauTexte"/>
            </w:pPr>
            <w:r w:rsidRPr="00BD2DED">
              <w:t>50 euros par infraction</w:t>
            </w:r>
          </w:p>
        </w:tc>
      </w:tr>
    </w:tbl>
    <w:p w14:paraId="77C63A09" w14:textId="28FC77C0" w:rsidR="00BD2DED" w:rsidRPr="00BD2DED" w:rsidRDefault="00BD2DED" w:rsidP="00870207">
      <w:pPr>
        <w:pStyle w:val="1Article"/>
      </w:pPr>
      <w:bookmarkStart w:id="208" w:name="_Toc327459797"/>
      <w:bookmarkStart w:id="209" w:name="_Toc333566316"/>
      <w:bookmarkStart w:id="210" w:name="_Toc90473421"/>
      <w:bookmarkStart w:id="211" w:name="_Toc222388764"/>
      <w:r w:rsidRPr="00BD2DED">
        <w:t>résiliation</w:t>
      </w:r>
      <w:bookmarkEnd w:id="208"/>
      <w:bookmarkEnd w:id="209"/>
      <w:r w:rsidRPr="00BD2DED">
        <w:t xml:space="preserve"> du march</w:t>
      </w:r>
      <w:bookmarkEnd w:id="210"/>
      <w:r w:rsidR="00163268">
        <w:t>é</w:t>
      </w:r>
      <w:bookmarkEnd w:id="211"/>
    </w:p>
    <w:p w14:paraId="00559706" w14:textId="55405BA1" w:rsidR="00163268" w:rsidRDefault="00163268" w:rsidP="00870207">
      <w:pPr>
        <w:pStyle w:val="Paragraphetexte"/>
      </w:pPr>
      <w:r>
        <w:t xml:space="preserve">Le marché pourra être résilié </w:t>
      </w:r>
      <w:r w:rsidR="002D5313">
        <w:t>dans les conditions définies</w:t>
      </w:r>
      <w:r>
        <w:t xml:space="preserve"> au chapitre 7 du CCAG-FCS.</w:t>
      </w:r>
    </w:p>
    <w:p w14:paraId="0AAD6063" w14:textId="46F9BB72" w:rsidR="00BD2DED" w:rsidRPr="00BD2DED" w:rsidRDefault="00BD2DED" w:rsidP="00870207">
      <w:pPr>
        <w:pStyle w:val="Paragraphetexte"/>
      </w:pPr>
      <w:r w:rsidRPr="00BD2DED">
        <w:t xml:space="preserve">Le Sénat se réserve la possibilité de résilier le marché, après mise en demeure adressée </w:t>
      </w:r>
      <w:r w:rsidR="002D5313">
        <w:t>au titulaire</w:t>
      </w:r>
      <w:r w:rsidRPr="00BD2DED">
        <w:t xml:space="preserve"> par lettre recommandée avec demande d’avis de réception, en cas de non</w:t>
      </w:r>
      <w:r w:rsidRPr="00BD2DED">
        <w:noBreakHyphen/>
        <w:t xml:space="preserve">respect </w:t>
      </w:r>
      <w:r w:rsidR="002D5313">
        <w:t xml:space="preserve">par le titulaire </w:t>
      </w:r>
      <w:r w:rsidRPr="00BD2DED">
        <w:t xml:space="preserve">des obligations prévues au marché ou </w:t>
      </w:r>
      <w:r w:rsidR="002D5313">
        <w:t>d</w:t>
      </w:r>
      <w:r w:rsidRPr="00BD2DED">
        <w:t xml:space="preserve">’impossibilité </w:t>
      </w:r>
      <w:r w:rsidR="002D5313">
        <w:t xml:space="preserve">pour lui </w:t>
      </w:r>
      <w:r w:rsidRPr="00BD2DED">
        <w:t xml:space="preserve">d’exécuter les prestations pour quelque raison que ce soit. </w:t>
      </w:r>
    </w:p>
    <w:p w14:paraId="385765D8" w14:textId="064DE15F" w:rsidR="00BD2DED" w:rsidRPr="00BD2DED" w:rsidRDefault="00BD2DED" w:rsidP="00870207">
      <w:pPr>
        <w:pStyle w:val="Paragraphetexte"/>
      </w:pPr>
      <w:r w:rsidRPr="00BD2DED">
        <w:t>Sont notamment susceptibles </w:t>
      </w:r>
      <w:r w:rsidR="009310AE">
        <w:t>–</w:t>
      </w:r>
      <w:r w:rsidRPr="00BD2DED">
        <w:t xml:space="preserve"> outre les motifs de résiliation pour faute énumérés à l’article </w:t>
      </w:r>
      <w:r w:rsidR="00163268">
        <w:t>41</w:t>
      </w:r>
      <w:r w:rsidR="002D5313">
        <w:t> </w:t>
      </w:r>
      <w:r w:rsidRPr="00BD2DED">
        <w:t xml:space="preserve">du CCAG-FCS </w:t>
      </w:r>
      <w:r w:rsidR="009310AE">
        <w:t>–</w:t>
      </w:r>
      <w:r w:rsidRPr="00BD2DED">
        <w:t xml:space="preserve"> d’entraîner une résiliation du marché</w:t>
      </w:r>
      <w:r w:rsidR="009310AE">
        <w:t> </w:t>
      </w:r>
      <w:r w:rsidRPr="00BD2DED">
        <w:t>:</w:t>
      </w:r>
    </w:p>
    <w:p w14:paraId="0BEAEBEF" w14:textId="335EC079" w:rsidR="00BD2DED" w:rsidRPr="00BD2DED" w:rsidRDefault="00BD2DED" w:rsidP="00870207">
      <w:pPr>
        <w:pStyle w:val="Pucedeparagraphe1"/>
      </w:pPr>
      <w:proofErr w:type="gramStart"/>
      <w:r w:rsidRPr="00BD2DED">
        <w:t>le</w:t>
      </w:r>
      <w:proofErr w:type="gramEnd"/>
      <w:r w:rsidRPr="00BD2DED">
        <w:t xml:space="preserve"> non-respect des caractéristiques des prestations exécutées</w:t>
      </w:r>
      <w:r w:rsidR="009310AE">
        <w:t> </w:t>
      </w:r>
      <w:r w:rsidRPr="00BD2DED">
        <w:t>;</w:t>
      </w:r>
    </w:p>
    <w:p w14:paraId="4E69E8D8" w14:textId="18128FF0" w:rsidR="00BD2DED" w:rsidRPr="00BD2DED" w:rsidRDefault="00BD2DED" w:rsidP="00870207">
      <w:pPr>
        <w:pStyle w:val="Pucedeparagraphe1"/>
      </w:pPr>
      <w:proofErr w:type="gramStart"/>
      <w:r w:rsidRPr="00BD2DED">
        <w:t>le</w:t>
      </w:r>
      <w:proofErr w:type="gramEnd"/>
      <w:r w:rsidRPr="00BD2DED">
        <w:t xml:space="preserve"> non-respect constaté et répété des délais d’exécution des prestations demandées</w:t>
      </w:r>
      <w:r w:rsidR="009310AE">
        <w:t> </w:t>
      </w:r>
      <w:r w:rsidRPr="00BD2DED">
        <w:t>;</w:t>
      </w:r>
    </w:p>
    <w:p w14:paraId="50168913" w14:textId="77777777" w:rsidR="00BD2DED" w:rsidRPr="00BD2DED" w:rsidRDefault="00BD2DED" w:rsidP="00870207">
      <w:pPr>
        <w:pStyle w:val="Pucedeparagraphe1"/>
      </w:pPr>
      <w:proofErr w:type="gramStart"/>
      <w:r w:rsidRPr="00BD2DED">
        <w:t>le</w:t>
      </w:r>
      <w:proofErr w:type="gramEnd"/>
      <w:r w:rsidRPr="00BD2DED">
        <w:t xml:space="preserve"> non-respect constaté et répété des règles de la profession.</w:t>
      </w:r>
    </w:p>
    <w:p w14:paraId="0B95793E" w14:textId="5CD5BD99" w:rsidR="00BD2DED" w:rsidRPr="00BD2DED" w:rsidRDefault="00BD2DED" w:rsidP="00870207">
      <w:pPr>
        <w:pStyle w:val="Paragraphetexte"/>
      </w:pPr>
      <w:r w:rsidRPr="00BD2DED">
        <w:t xml:space="preserve">Par dérogation au deuxième alinéa de l’article 38 et </w:t>
      </w:r>
      <w:r w:rsidR="00163268">
        <w:t>au premier alinéa de</w:t>
      </w:r>
      <w:r w:rsidRPr="00BD2DED">
        <w:t xml:space="preserve"> l’article 42 du CCAG-FCS, aucune indemnité n’est due au titulaire en cas de résiliation du marché par le Sénat pour un motif d’intérêt général.</w:t>
      </w:r>
    </w:p>
    <w:p w14:paraId="0059031D" w14:textId="77777777" w:rsidR="00BD2DED" w:rsidRPr="00BD2DED" w:rsidRDefault="00BD2DED" w:rsidP="00163268">
      <w:pPr>
        <w:pStyle w:val="1Article"/>
      </w:pPr>
      <w:bookmarkStart w:id="212" w:name="_Toc309145797"/>
      <w:bookmarkStart w:id="213" w:name="_Toc309207115"/>
      <w:bookmarkStart w:id="214" w:name="_Toc309398374"/>
      <w:bookmarkStart w:id="215" w:name="_Toc405305454"/>
      <w:bookmarkStart w:id="216" w:name="_Toc90473422"/>
      <w:bookmarkStart w:id="217" w:name="_Toc222388765"/>
      <w:bookmarkStart w:id="218" w:name="_Toc236020550"/>
      <w:bookmarkStart w:id="219" w:name="_Toc242179741"/>
      <w:bookmarkStart w:id="220" w:name="_Toc251169763"/>
      <w:bookmarkStart w:id="221" w:name="_Toc251579045"/>
      <w:bookmarkStart w:id="222" w:name="_Toc261613359"/>
      <w:bookmarkStart w:id="223" w:name="_Toc261625532"/>
      <w:bookmarkStart w:id="224" w:name="_Toc262649040"/>
      <w:bookmarkStart w:id="225" w:name="_Toc281834477"/>
      <w:bookmarkStart w:id="226" w:name="_Toc282422324"/>
      <w:bookmarkStart w:id="227" w:name="_Toc282433179"/>
      <w:bookmarkStart w:id="228" w:name="_Toc283046144"/>
      <w:r w:rsidRPr="00BD2DED">
        <w:t>OBLIGATIONS DU TITULAIRE</w:t>
      </w:r>
      <w:bookmarkEnd w:id="212"/>
      <w:bookmarkEnd w:id="213"/>
      <w:bookmarkEnd w:id="214"/>
      <w:bookmarkEnd w:id="215"/>
      <w:bookmarkEnd w:id="216"/>
      <w:bookmarkEnd w:id="217"/>
    </w:p>
    <w:p w14:paraId="71D91CDD" w14:textId="77777777" w:rsidR="00BD2DED" w:rsidRPr="00BD2DED" w:rsidRDefault="00BD2DED" w:rsidP="00163268">
      <w:pPr>
        <w:pStyle w:val="2Titre2-RC"/>
      </w:pPr>
      <w:bookmarkStart w:id="229" w:name="_Toc327890968"/>
      <w:bookmarkStart w:id="230" w:name="_Toc329705817"/>
      <w:bookmarkStart w:id="231" w:name="_Toc329769989"/>
      <w:bookmarkStart w:id="232" w:name="_Toc43883251"/>
      <w:bookmarkStart w:id="233" w:name="_Toc90473423"/>
      <w:bookmarkStart w:id="234" w:name="_Toc222388766"/>
      <w:bookmarkStart w:id="235" w:name="_Toc292448209"/>
      <w:bookmarkStart w:id="236" w:name="_Toc292468858"/>
      <w:bookmarkStart w:id="237" w:name="_Toc293053341"/>
      <w:bookmarkStart w:id="238" w:name="_Toc293053390"/>
      <w:bookmarkStart w:id="239" w:name="_Toc293062771"/>
      <w:r w:rsidRPr="00BD2DED">
        <w:t>Déclaration relative à la lutte contre le travail dissimulé</w:t>
      </w:r>
      <w:bookmarkEnd w:id="229"/>
      <w:bookmarkEnd w:id="230"/>
      <w:bookmarkEnd w:id="231"/>
      <w:bookmarkEnd w:id="232"/>
      <w:bookmarkEnd w:id="233"/>
      <w:bookmarkEnd w:id="234"/>
    </w:p>
    <w:p w14:paraId="3135465E" w14:textId="77777777" w:rsidR="00BD2DED" w:rsidRPr="00BD2DED" w:rsidRDefault="00BD2DED" w:rsidP="00163268">
      <w:pPr>
        <w:pStyle w:val="Paragraphetexte"/>
      </w:pPr>
      <w:r w:rsidRPr="00BD2DED">
        <w:t xml:space="preserve">Le titulaire se conformera à la réglementation relative à la lutte contre le travail dissimulé. </w:t>
      </w:r>
    </w:p>
    <w:p w14:paraId="63D96494" w14:textId="77777777" w:rsidR="00BD2DED" w:rsidRPr="00BD2DED" w:rsidRDefault="00BD2DED" w:rsidP="00163268">
      <w:pPr>
        <w:pStyle w:val="Paragraphetexte"/>
      </w:pPr>
      <w:r w:rsidRPr="00BD2DED">
        <w:t xml:space="preserve">Il fournira tous les six mois à compter de la notification du marché, les pièces prévues à l’article D.8222-5 du code du travail (déclaration relative à la lutte contre l’emploi dissimulé ou formulaire NOTI 1 du ministère de l’Économie et des Finances). </w:t>
      </w:r>
    </w:p>
    <w:p w14:paraId="25F47934" w14:textId="03CD2B0D" w:rsidR="00BD2DED" w:rsidRPr="00BD2DED" w:rsidRDefault="00BD2DED" w:rsidP="00163268">
      <w:pPr>
        <w:pStyle w:val="Paragraphetexte"/>
      </w:pPr>
      <w:bookmarkStart w:id="240" w:name="_Toc90473424"/>
      <w:r w:rsidRPr="00BD2DED">
        <w:t>Ces pièces sont envoyées à l’adresse suivante</w:t>
      </w:r>
      <w:r w:rsidR="009310AE">
        <w:t> </w:t>
      </w:r>
      <w:r w:rsidRPr="00BD2DED">
        <w:t>:</w:t>
      </w:r>
      <w:bookmarkEnd w:id="240"/>
    </w:p>
    <w:p w14:paraId="2EDA87E6" w14:textId="77777777" w:rsidR="00BD2DED" w:rsidRPr="00BD2DED" w:rsidRDefault="00BD2DED" w:rsidP="00BD2DED">
      <w:pPr>
        <w:keepNext/>
        <w:keepLines/>
        <w:widowControl w:val="0"/>
        <w:overflowPunct/>
        <w:autoSpaceDE/>
        <w:autoSpaceDN/>
        <w:adjustRightInd/>
        <w:spacing w:after="0"/>
        <w:jc w:val="center"/>
        <w:textAlignment w:val="auto"/>
        <w:rPr>
          <w:sz w:val="24"/>
          <w:szCs w:val="24"/>
        </w:rPr>
      </w:pPr>
      <w:r w:rsidRPr="00BD2DED">
        <w:rPr>
          <w:sz w:val="24"/>
          <w:szCs w:val="24"/>
        </w:rPr>
        <w:lastRenderedPageBreak/>
        <w:t>Sénat</w:t>
      </w:r>
    </w:p>
    <w:p w14:paraId="109C4B63" w14:textId="77777777" w:rsidR="00BD2DED" w:rsidRPr="00BD2DED" w:rsidRDefault="00BD2DED" w:rsidP="00BD2DED">
      <w:pPr>
        <w:keepNext/>
        <w:keepLines/>
        <w:widowControl w:val="0"/>
        <w:overflowPunct/>
        <w:autoSpaceDE/>
        <w:autoSpaceDN/>
        <w:adjustRightInd/>
        <w:spacing w:after="0"/>
        <w:jc w:val="center"/>
        <w:textAlignment w:val="auto"/>
        <w:rPr>
          <w:sz w:val="24"/>
          <w:szCs w:val="24"/>
        </w:rPr>
      </w:pPr>
      <w:r w:rsidRPr="00BD2DED">
        <w:rPr>
          <w:sz w:val="24"/>
          <w:szCs w:val="24"/>
        </w:rPr>
        <w:t>Direction de la Logistique et des Moyens généraux</w:t>
      </w:r>
    </w:p>
    <w:p w14:paraId="5704DDB8" w14:textId="77777777" w:rsidR="00BD2DED" w:rsidRPr="00BD2DED" w:rsidRDefault="00BD2DED" w:rsidP="00BD2DED">
      <w:pPr>
        <w:keepNext/>
        <w:keepLines/>
        <w:widowControl w:val="0"/>
        <w:overflowPunct/>
        <w:autoSpaceDE/>
        <w:autoSpaceDN/>
        <w:adjustRightInd/>
        <w:spacing w:after="0"/>
        <w:jc w:val="center"/>
        <w:textAlignment w:val="auto"/>
        <w:rPr>
          <w:sz w:val="24"/>
          <w:szCs w:val="24"/>
        </w:rPr>
      </w:pPr>
      <w:r w:rsidRPr="00BD2DED">
        <w:rPr>
          <w:sz w:val="24"/>
          <w:szCs w:val="24"/>
        </w:rPr>
        <w:t>15 rue de Vaugirard</w:t>
      </w:r>
    </w:p>
    <w:p w14:paraId="70BAC3FE" w14:textId="77777777" w:rsidR="00BD2DED" w:rsidRPr="00BD2DED" w:rsidRDefault="00BD2DED" w:rsidP="00BD2DED">
      <w:pPr>
        <w:widowControl w:val="0"/>
        <w:overflowPunct/>
        <w:autoSpaceDE/>
        <w:autoSpaceDN/>
        <w:adjustRightInd/>
        <w:spacing w:after="0"/>
        <w:jc w:val="center"/>
        <w:textAlignment w:val="auto"/>
        <w:rPr>
          <w:sz w:val="24"/>
          <w:szCs w:val="24"/>
        </w:rPr>
      </w:pPr>
      <w:r w:rsidRPr="00BD2DED">
        <w:rPr>
          <w:sz w:val="24"/>
          <w:szCs w:val="24"/>
        </w:rPr>
        <w:t>75291 PARIS CEDEX 06</w:t>
      </w:r>
    </w:p>
    <w:p w14:paraId="7CA152A4" w14:textId="77777777" w:rsidR="00163268" w:rsidRDefault="00163268" w:rsidP="00163268">
      <w:pPr>
        <w:pStyle w:val="Paragraphetexte"/>
      </w:pPr>
    </w:p>
    <w:p w14:paraId="47FDD38B" w14:textId="2CFC1D3C" w:rsidR="00BD2DED" w:rsidRPr="00BD2DED" w:rsidRDefault="00BD2DED" w:rsidP="00163268">
      <w:pPr>
        <w:pStyle w:val="Paragraphetexte"/>
        <w:rPr>
          <w:szCs w:val="24"/>
        </w:rPr>
      </w:pPr>
      <w:r w:rsidRPr="00BD2DED">
        <w:t>En cas de non-satisfaction des formalités mentionnées aux articles L.8221-3 à L.8221-5 du code du travail en matière de lutte contre le travail dissimulé, le marché pourra être résilié pour faute, sans indemnités et conformément à l’article 4</w:t>
      </w:r>
      <w:r w:rsidR="00163268">
        <w:t>5</w:t>
      </w:r>
      <w:r w:rsidRPr="00BD2DED">
        <w:t xml:space="preserve"> du CCAG-FCS, aux frais et risques du titulaire</w:t>
      </w:r>
      <w:r w:rsidRPr="00BD2DED">
        <w:rPr>
          <w:szCs w:val="24"/>
        </w:rPr>
        <w:t>.</w:t>
      </w:r>
    </w:p>
    <w:p w14:paraId="6FA96777" w14:textId="77777777" w:rsidR="00BD2DED" w:rsidRPr="00BD2DED" w:rsidRDefault="00BD2DED" w:rsidP="00163268">
      <w:pPr>
        <w:pStyle w:val="2Titre2-RC"/>
      </w:pPr>
      <w:bookmarkStart w:id="241" w:name="_Toc43883252"/>
      <w:bookmarkStart w:id="242" w:name="_Toc90473425"/>
      <w:bookmarkStart w:id="243" w:name="_Toc222388767"/>
      <w:r w:rsidRPr="00BD2DED">
        <w:t>Obligation de confidentialité</w:t>
      </w:r>
      <w:bookmarkEnd w:id="241"/>
      <w:bookmarkEnd w:id="242"/>
      <w:bookmarkEnd w:id="243"/>
    </w:p>
    <w:p w14:paraId="50F3369E" w14:textId="4BB200CF" w:rsidR="00BD2DED" w:rsidRPr="00BD2DED" w:rsidRDefault="00BD2DED" w:rsidP="00163268">
      <w:pPr>
        <w:pStyle w:val="Paragraphetexte"/>
      </w:pPr>
      <w:r w:rsidRPr="00BD2DED">
        <w:t xml:space="preserve">Il est interdit au titulaire de faire une quelconque publicité sur les prestations faisant l’objet du marché sans autorisation préalable du </w:t>
      </w:r>
      <w:r w:rsidR="00163268">
        <w:t>Sénat</w:t>
      </w:r>
      <w:r w:rsidRPr="00BD2DED">
        <w:t>.</w:t>
      </w:r>
    </w:p>
    <w:p w14:paraId="1D8324F1" w14:textId="3540DA64" w:rsidR="00BD2DED" w:rsidRPr="00BD2DED" w:rsidRDefault="00BD2DED" w:rsidP="00163268">
      <w:pPr>
        <w:pStyle w:val="Paragraphetexte"/>
      </w:pPr>
      <w:r w:rsidRPr="00BD2DED">
        <w:t xml:space="preserve">Aucun renseignement concernant le marché ou obtenu à l’occasion de son exécution ne doit être donné par le titulaire ou son personnel à des personnes étrangères au marché. Toute demande d’un tiers, y compris de la presse, relative aux prestations fournies doit être transmise au </w:t>
      </w:r>
      <w:r w:rsidR="00163268">
        <w:t>Sénat.</w:t>
      </w:r>
    </w:p>
    <w:p w14:paraId="4B2CE759" w14:textId="77777777" w:rsidR="00BD2DED" w:rsidRPr="00BD2DED" w:rsidRDefault="00BD2DED" w:rsidP="00163268">
      <w:pPr>
        <w:pStyle w:val="2Titre2-RC"/>
      </w:pPr>
      <w:bookmarkStart w:id="244" w:name="_Toc292448205"/>
      <w:bookmarkStart w:id="245" w:name="_Toc292468854"/>
      <w:bookmarkStart w:id="246" w:name="_Toc293053337"/>
      <w:bookmarkStart w:id="247" w:name="_Toc293053386"/>
      <w:bookmarkStart w:id="248" w:name="_Toc293062767"/>
      <w:bookmarkStart w:id="249" w:name="_Toc297891222"/>
      <w:bookmarkStart w:id="250" w:name="_Toc297891305"/>
      <w:bookmarkStart w:id="251" w:name="_Toc302657343"/>
      <w:bookmarkStart w:id="252" w:name="_Toc303936963"/>
      <w:bookmarkStart w:id="253" w:name="_Toc304211444"/>
      <w:bookmarkStart w:id="254" w:name="_Toc304211806"/>
      <w:bookmarkStart w:id="255" w:name="_Toc309145800"/>
      <w:bookmarkStart w:id="256" w:name="_Toc309207118"/>
      <w:bookmarkStart w:id="257" w:name="_Toc309398377"/>
      <w:bookmarkStart w:id="258" w:name="_Toc405305457"/>
      <w:bookmarkStart w:id="259" w:name="_Toc90473426"/>
      <w:bookmarkStart w:id="260" w:name="_Toc222388768"/>
      <w:r w:rsidRPr="00BD2DED">
        <w:t>Obligation d’informer le pouvoir adjudicateur</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14B42B35" w14:textId="1FD107F6" w:rsidR="00BD2DED" w:rsidRPr="00BD2DED" w:rsidRDefault="00BD2DED" w:rsidP="00163268">
      <w:pPr>
        <w:pStyle w:val="Paragraphetexte"/>
      </w:pPr>
      <w:r w:rsidRPr="00BD2DED">
        <w:t xml:space="preserve">Le titulaire informe immédiatement le </w:t>
      </w:r>
      <w:r w:rsidR="00163268">
        <w:t>Sénat</w:t>
      </w:r>
      <w:r w:rsidRPr="00BD2DED">
        <w:t xml:space="preserve"> de toute procédure de redressement judiciaire ou de liquidation qui serait mise en œuvre à son encontre. </w:t>
      </w:r>
    </w:p>
    <w:p w14:paraId="5EEA5CFB" w14:textId="77777777" w:rsidR="00BD2DED" w:rsidRPr="00BD2DED" w:rsidRDefault="00BD2DED" w:rsidP="00163268">
      <w:pPr>
        <w:pStyle w:val="Paragraphetexte"/>
      </w:pPr>
      <w:r w:rsidRPr="00BD2DED">
        <w:t>De même et afin que soient prises les dispositions nécessaires pour assurer la continuité de l’exécution des prestations, le titulaire doit informer le Sénat, dans les meilleurs délais, des modifications affectant son statut (fusion, cession intervenant dans le cadre des dispositions de l’article R. 2194-6 du code de la commande publique, changement de forme juridique, de raison sociale, etc.). En cas de modification de sa personnalité juridique et conformément à l’article R. 2194-6 précité, le titulaire doit solliciter l’accord préalable du Sénat sur le transfert à la nouvelle entité des droits et obligations découlant du présent marché. Cette nouvelle entité devra présenter les capacités économiques et professionnelles requises pour assurer la bonne exécution du marché, ce dont le titulaire demeurera en toute hypothèse garant solidaire auprès du Sénat pendant la durée du marché restant à courir jusqu’à son terme.</w:t>
      </w:r>
    </w:p>
    <w:p w14:paraId="5FFDE305" w14:textId="77777777" w:rsidR="00BD2DED" w:rsidRPr="00BD2DED" w:rsidRDefault="00BD2DED" w:rsidP="00163268">
      <w:pPr>
        <w:pStyle w:val="2Titre2-RC"/>
      </w:pPr>
      <w:bookmarkStart w:id="261" w:name="_Toc292448206"/>
      <w:bookmarkStart w:id="262" w:name="_Toc292468855"/>
      <w:bookmarkStart w:id="263" w:name="_Toc293053338"/>
      <w:bookmarkStart w:id="264" w:name="_Toc293053387"/>
      <w:bookmarkStart w:id="265" w:name="_Toc293062768"/>
      <w:bookmarkStart w:id="266" w:name="_Toc297891223"/>
      <w:bookmarkStart w:id="267" w:name="_Toc297891306"/>
      <w:bookmarkStart w:id="268" w:name="_Toc302657344"/>
      <w:bookmarkStart w:id="269" w:name="_Toc303936964"/>
      <w:bookmarkStart w:id="270" w:name="_Toc304211445"/>
      <w:bookmarkStart w:id="271" w:name="_Toc304211807"/>
      <w:bookmarkStart w:id="272" w:name="_Toc357524287"/>
      <w:bookmarkStart w:id="273" w:name="_Toc358212961"/>
      <w:bookmarkStart w:id="274" w:name="_Toc359494078"/>
      <w:bookmarkStart w:id="275" w:name="_Toc359494292"/>
      <w:bookmarkStart w:id="276" w:name="_Toc359513086"/>
      <w:bookmarkStart w:id="277" w:name="_Toc359833635"/>
      <w:bookmarkStart w:id="278" w:name="_Toc360803678"/>
      <w:bookmarkStart w:id="279" w:name="_Toc360813204"/>
      <w:bookmarkStart w:id="280" w:name="_Toc361146680"/>
      <w:bookmarkStart w:id="281" w:name="_Toc361146760"/>
      <w:bookmarkStart w:id="282" w:name="_Toc361146830"/>
      <w:bookmarkStart w:id="283" w:name="_Toc361146988"/>
      <w:bookmarkStart w:id="284" w:name="_Toc361147074"/>
      <w:bookmarkStart w:id="285" w:name="_Toc361147131"/>
      <w:bookmarkStart w:id="286" w:name="_Toc361147214"/>
      <w:bookmarkStart w:id="287" w:name="_Toc361753737"/>
      <w:bookmarkStart w:id="288" w:name="_Toc361755289"/>
      <w:bookmarkStart w:id="289" w:name="_Toc362516560"/>
      <w:bookmarkStart w:id="290" w:name="_Toc362516704"/>
      <w:bookmarkStart w:id="291" w:name="_Toc43883254"/>
      <w:bookmarkStart w:id="292" w:name="_Toc90473427"/>
      <w:bookmarkStart w:id="293" w:name="_Toc222388769"/>
      <w:r w:rsidRPr="00BD2DED">
        <w:t>Sous-traitance</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29FB2EDA" w14:textId="3AAF177D" w:rsidR="00BD2DED" w:rsidRPr="00BD2DED" w:rsidRDefault="00BD2DED" w:rsidP="00163268">
      <w:pPr>
        <w:pStyle w:val="Paragraphetexte"/>
      </w:pPr>
      <w:r w:rsidRPr="00BD2DED">
        <w:t>Le titulaire peut sous-traiter l’exécution de prestations de service annexes, sous réserve de l’acceptation du ou des sous-traitants présenté</w:t>
      </w:r>
      <w:r w:rsidR="008511A9">
        <w:t>(s)</w:t>
      </w:r>
      <w:r w:rsidRPr="00BD2DED">
        <w:t xml:space="preserve"> par lui au Sénat et de l’agrément par celui-ci des conditions de paiement de chaque sous-traitant. </w:t>
      </w:r>
    </w:p>
    <w:p w14:paraId="24413A96" w14:textId="23A760CF" w:rsidR="00BD2DED" w:rsidRPr="00BD2DED" w:rsidRDefault="00BD2DED" w:rsidP="00163268">
      <w:pPr>
        <w:pStyle w:val="Paragraphetexte"/>
      </w:pPr>
      <w:r w:rsidRPr="00BD2DED">
        <w:t xml:space="preserve">Le titulaire qui souhaite avoir recours à la sous-traitance en cours d’exécution du marché présente au Sénat une </w:t>
      </w:r>
      <w:r w:rsidRPr="00BD2DED">
        <w:rPr>
          <w:b/>
        </w:rPr>
        <w:t>déclaration de sous-traitance</w:t>
      </w:r>
      <w:r w:rsidRPr="00BD2DED">
        <w:t xml:space="preserve"> (imprimé DC4) mentionnant</w:t>
      </w:r>
      <w:r w:rsidR="009310AE">
        <w:t> </w:t>
      </w:r>
      <w:r w:rsidRPr="00BD2DED">
        <w:t xml:space="preserve">: </w:t>
      </w:r>
    </w:p>
    <w:p w14:paraId="75715AB7" w14:textId="291E6573" w:rsidR="00BD2DED" w:rsidRPr="00BD2DED" w:rsidRDefault="00BD2DED" w:rsidP="00163268">
      <w:pPr>
        <w:pStyle w:val="Pucedeparagraphe1"/>
      </w:pPr>
      <w:proofErr w:type="gramStart"/>
      <w:r w:rsidRPr="00BD2DED">
        <w:t>le</w:t>
      </w:r>
      <w:proofErr w:type="gramEnd"/>
      <w:r w:rsidRPr="00BD2DED">
        <w:t xml:space="preserve"> nom ou la raison sociale et l’adresse du sous-traitant</w:t>
      </w:r>
      <w:r w:rsidR="009310AE">
        <w:t> </w:t>
      </w:r>
      <w:r w:rsidRPr="00BD2DED">
        <w:t xml:space="preserve">; </w:t>
      </w:r>
    </w:p>
    <w:p w14:paraId="18B21099" w14:textId="7F84B9BE" w:rsidR="00BD2DED" w:rsidRPr="00BD2DED" w:rsidRDefault="00BD2DED" w:rsidP="00163268">
      <w:pPr>
        <w:pStyle w:val="Pucedeparagraphe1"/>
      </w:pPr>
      <w:proofErr w:type="gramStart"/>
      <w:r w:rsidRPr="00BD2DED">
        <w:t>la</w:t>
      </w:r>
      <w:proofErr w:type="gramEnd"/>
      <w:r w:rsidRPr="00BD2DED">
        <w:t xml:space="preserve"> nature et le montant des prestations qu’il envisage de sous-traiter</w:t>
      </w:r>
      <w:r w:rsidR="009310AE">
        <w:t> </w:t>
      </w:r>
      <w:r w:rsidRPr="00BD2DED">
        <w:t>;</w:t>
      </w:r>
    </w:p>
    <w:p w14:paraId="023389A3" w14:textId="411DD8E4" w:rsidR="00BD2DED" w:rsidRPr="00BD2DED" w:rsidRDefault="00BD2DED" w:rsidP="00163268">
      <w:pPr>
        <w:pStyle w:val="Pucedeparagraphe1"/>
      </w:pPr>
      <w:proofErr w:type="gramStart"/>
      <w:r w:rsidRPr="00BD2DED">
        <w:t>les</w:t>
      </w:r>
      <w:proofErr w:type="gramEnd"/>
      <w:r w:rsidRPr="00BD2DED">
        <w:t xml:space="preserve"> conditions de paiement prévues par le projet de contrat de sous-traitance</w:t>
      </w:r>
      <w:r w:rsidR="009310AE">
        <w:t> </w:t>
      </w:r>
      <w:r w:rsidRPr="00BD2DED">
        <w:t xml:space="preserve">; </w:t>
      </w:r>
    </w:p>
    <w:p w14:paraId="0E33F3B5" w14:textId="45A2AA56" w:rsidR="00BD2DED" w:rsidRPr="00BD2DED" w:rsidRDefault="00BD2DED" w:rsidP="00163268">
      <w:pPr>
        <w:pStyle w:val="Pucedeparagraphe1"/>
      </w:pPr>
      <w:proofErr w:type="gramStart"/>
      <w:r w:rsidRPr="00BD2DED">
        <w:t>les</w:t>
      </w:r>
      <w:proofErr w:type="gramEnd"/>
      <w:r w:rsidRPr="00BD2DED">
        <w:t xml:space="preserve"> coordonnées bancaires du sous-traitant</w:t>
      </w:r>
      <w:r w:rsidR="009310AE">
        <w:t> </w:t>
      </w:r>
      <w:r w:rsidRPr="00BD2DED">
        <w:t xml:space="preserve">; </w:t>
      </w:r>
    </w:p>
    <w:p w14:paraId="7A1910CA" w14:textId="6209DF45" w:rsidR="00BD2DED" w:rsidRPr="00BD2DED" w:rsidRDefault="00BD2DED" w:rsidP="00163268">
      <w:pPr>
        <w:pStyle w:val="Pucedeparagraphe1"/>
      </w:pPr>
      <w:proofErr w:type="gramStart"/>
      <w:r w:rsidRPr="00BD2DED">
        <w:t>l’indication</w:t>
      </w:r>
      <w:proofErr w:type="gramEnd"/>
      <w:r w:rsidRPr="00BD2DED">
        <w:t xml:space="preserve"> des capacités professionnelles, techniques et financières du sous</w:t>
      </w:r>
      <w:r w:rsidRPr="00BD2DED">
        <w:noBreakHyphen/>
        <w:t>traitant</w:t>
      </w:r>
      <w:r w:rsidR="009310AE">
        <w:t> </w:t>
      </w:r>
      <w:r w:rsidRPr="00BD2DED">
        <w:t xml:space="preserve">; </w:t>
      </w:r>
    </w:p>
    <w:p w14:paraId="2EA60268" w14:textId="0B359964" w:rsidR="00BD2DED" w:rsidRPr="00BD2DED" w:rsidRDefault="00BD2DED" w:rsidP="00163268">
      <w:pPr>
        <w:pStyle w:val="Pucedeparagraphe1"/>
      </w:pPr>
      <w:proofErr w:type="gramStart"/>
      <w:r w:rsidRPr="00BD2DED">
        <w:t>une</w:t>
      </w:r>
      <w:proofErr w:type="gramEnd"/>
      <w:r w:rsidRPr="00BD2DED">
        <w:t xml:space="preserve"> déclaration sur l’honneur, datée et signée par le sous-traitant, attestant qu’il n’a pas fait l’objet d’une interdiction de concourir à un marché public</w:t>
      </w:r>
      <w:r w:rsidR="009310AE">
        <w:t> </w:t>
      </w:r>
      <w:r w:rsidRPr="00BD2DED">
        <w:t xml:space="preserve">; </w:t>
      </w:r>
    </w:p>
    <w:p w14:paraId="31B70E59" w14:textId="18D0A6E5" w:rsidR="00BD2DED" w:rsidRPr="00BD2DED" w:rsidRDefault="00BD2DED" w:rsidP="00163268">
      <w:pPr>
        <w:pStyle w:val="Pucedeparagraphe1"/>
      </w:pPr>
      <w:proofErr w:type="gramStart"/>
      <w:r w:rsidRPr="00BD2DED">
        <w:t>une</w:t>
      </w:r>
      <w:proofErr w:type="gramEnd"/>
      <w:r w:rsidRPr="00BD2DED">
        <w:t xml:space="preserve"> attestation d’assurance pour les risques professionnels</w:t>
      </w:r>
      <w:r w:rsidR="009310AE">
        <w:t> </w:t>
      </w:r>
      <w:r w:rsidRPr="00BD2DED">
        <w:t>;</w:t>
      </w:r>
    </w:p>
    <w:p w14:paraId="56AE3982" w14:textId="77777777" w:rsidR="00BD2DED" w:rsidRPr="00BD2DED" w:rsidRDefault="00BD2DED" w:rsidP="00163268">
      <w:pPr>
        <w:pStyle w:val="Pucedeparagraphe1"/>
      </w:pPr>
      <w:proofErr w:type="gramStart"/>
      <w:r w:rsidRPr="00BD2DED">
        <w:lastRenderedPageBreak/>
        <w:t>les</w:t>
      </w:r>
      <w:proofErr w:type="gramEnd"/>
      <w:r w:rsidRPr="00BD2DED">
        <w:t xml:space="preserve"> attestations de régularité fiscale et sociale.</w:t>
      </w:r>
    </w:p>
    <w:p w14:paraId="74E10D82" w14:textId="77777777" w:rsidR="00BD2DED" w:rsidRPr="00BD2DED" w:rsidRDefault="00BD2DED" w:rsidP="00163268">
      <w:pPr>
        <w:pStyle w:val="Paragraphetexte"/>
      </w:pPr>
      <w:r w:rsidRPr="00BD2DED">
        <w:t>L’acceptation par le Sénat du sous-traitant et l’agrément de ses conditions de paiement sont constatés par la signature et la notification d’un acte spécial.</w:t>
      </w:r>
    </w:p>
    <w:p w14:paraId="78D039E5" w14:textId="623278DD" w:rsidR="00BD2DED" w:rsidRPr="00BD2DED" w:rsidRDefault="00163268" w:rsidP="00163268">
      <w:pPr>
        <w:pStyle w:val="2Titre2-RC"/>
      </w:pPr>
      <w:bookmarkStart w:id="294" w:name="_Toc222388770"/>
      <w:r>
        <w:t>Exécution du marché aux frais et risques du titulaire</w:t>
      </w:r>
      <w:bookmarkEnd w:id="294"/>
    </w:p>
    <w:p w14:paraId="674A0831" w14:textId="18282225" w:rsidR="00BD2DED" w:rsidRPr="00BD2DED" w:rsidRDefault="00BD2DED" w:rsidP="00163268">
      <w:pPr>
        <w:pStyle w:val="Paragraphetexte"/>
      </w:pPr>
      <w:r w:rsidRPr="00BD2DED">
        <w:t xml:space="preserve">Conformément à l’article 45 du CCAG-FCS, </w:t>
      </w:r>
      <w:r w:rsidR="00163268">
        <w:t xml:space="preserve">dans l’hypothèse où le titulaire n’a pas déféré à une mise en demeure de se conformer à une obligation du marché ou </w:t>
      </w:r>
      <w:r w:rsidRPr="00BD2DED">
        <w:t>en cas d’inexécution de prestations prévues au marché</w:t>
      </w:r>
      <w:r w:rsidR="00163268">
        <w:t xml:space="preserve"> et qui par leur nature ne sauraient souffrir aucun retard</w:t>
      </w:r>
      <w:r w:rsidRPr="00BD2DED">
        <w:t>, le Sénat peut faire exécuter le marché par un tiers, aux frais et risques du titulaire.</w:t>
      </w:r>
    </w:p>
    <w:p w14:paraId="1E291F56" w14:textId="77777777" w:rsidR="00BD2DED" w:rsidRPr="00BD2DED" w:rsidRDefault="00BD2DED" w:rsidP="00163268">
      <w:pPr>
        <w:pStyle w:val="Paragraphetexte"/>
      </w:pPr>
      <w:r w:rsidRPr="00BD2DED">
        <w:t>L’augmentation des dépenses par rapport aux prix du marché, résultant de l’exécution des prestations, est à la charge du titulaire. La diminution des dépenses ne lui profite pas.</w:t>
      </w:r>
    </w:p>
    <w:p w14:paraId="2AA3F06C" w14:textId="77777777" w:rsidR="00BD2DED" w:rsidRPr="00BD2DED" w:rsidRDefault="00BD2DED" w:rsidP="00163268">
      <w:pPr>
        <w:pStyle w:val="2Titre2-RC"/>
      </w:pPr>
      <w:bookmarkStart w:id="295" w:name="_Toc495149242"/>
      <w:bookmarkStart w:id="296" w:name="_Toc496544562"/>
      <w:bookmarkStart w:id="297" w:name="_Toc496544605"/>
      <w:bookmarkStart w:id="298" w:name="_Toc496601856"/>
      <w:bookmarkStart w:id="299" w:name="_Toc496602036"/>
      <w:bookmarkStart w:id="300" w:name="_Toc496602213"/>
      <w:bookmarkStart w:id="301" w:name="_Toc496602553"/>
      <w:bookmarkStart w:id="302" w:name="_Toc496602866"/>
      <w:bookmarkStart w:id="303" w:name="_Toc84423288"/>
      <w:bookmarkStart w:id="304" w:name="_Toc90473429"/>
      <w:bookmarkStart w:id="305" w:name="_Toc222388771"/>
      <w:r w:rsidRPr="00BD2DED">
        <w:t>Assurances</w:t>
      </w:r>
      <w:bookmarkEnd w:id="295"/>
      <w:bookmarkEnd w:id="296"/>
      <w:bookmarkEnd w:id="297"/>
      <w:bookmarkEnd w:id="298"/>
      <w:bookmarkEnd w:id="299"/>
      <w:bookmarkEnd w:id="300"/>
      <w:bookmarkEnd w:id="301"/>
      <w:bookmarkEnd w:id="302"/>
      <w:bookmarkEnd w:id="303"/>
      <w:bookmarkEnd w:id="304"/>
      <w:bookmarkEnd w:id="305"/>
    </w:p>
    <w:p w14:paraId="6E4B3254" w14:textId="77777777" w:rsidR="00BD2DED" w:rsidRPr="00BD2DED" w:rsidRDefault="00BD2DED" w:rsidP="00163268">
      <w:pPr>
        <w:pStyle w:val="Paragraphetexte"/>
      </w:pPr>
      <w:r w:rsidRPr="00BD2DED">
        <w:t>Conformément à l’article 9 du CCAG-FCS, à tout moment durant l’exécution de la prestation, le titulaire doit être en mesure de produire une attestation d’assurance pour les risques professionnels, sur demande du Sénat et dans un délai de quinze jours à compter de la réception de la demande</w:t>
      </w:r>
    </w:p>
    <w:p w14:paraId="55D6AB36" w14:textId="77777777" w:rsidR="00BD2DED" w:rsidRPr="00BD2DED" w:rsidRDefault="00BD2DED" w:rsidP="00163268">
      <w:pPr>
        <w:pStyle w:val="1Article"/>
      </w:pPr>
      <w:bookmarkStart w:id="306" w:name="_Toc90473430"/>
      <w:bookmarkStart w:id="307" w:name="_Toc222388772"/>
      <w:r w:rsidRPr="00BD2DED">
        <w:t>Convention sur la preuve</w:t>
      </w:r>
      <w:bookmarkEnd w:id="306"/>
      <w:bookmarkEnd w:id="307"/>
    </w:p>
    <w:p w14:paraId="277329A2" w14:textId="77777777" w:rsidR="00BD2DED" w:rsidRPr="00BD2DED" w:rsidRDefault="00BD2DED" w:rsidP="00163268">
      <w:pPr>
        <w:pStyle w:val="Paragraphetexte"/>
      </w:pPr>
      <w:r w:rsidRPr="00BD2DED">
        <w:t>Le Sénat et le titulaire conviennent que tous les échanges réalisés par courriel dans le cadre du marché reçoivent la même force probante qu’un écrit signé de manière manuscrite.</w:t>
      </w:r>
    </w:p>
    <w:p w14:paraId="0810FEBA" w14:textId="77777777" w:rsidR="00BD2DED" w:rsidRPr="00BD2DED" w:rsidRDefault="00BD2DED" w:rsidP="00163268">
      <w:pPr>
        <w:pStyle w:val="1Article"/>
      </w:pPr>
      <w:bookmarkStart w:id="308" w:name="_Toc90473431"/>
      <w:bookmarkStart w:id="309" w:name="_Toc222388773"/>
      <w:bookmarkEnd w:id="235"/>
      <w:bookmarkEnd w:id="236"/>
      <w:bookmarkEnd w:id="237"/>
      <w:bookmarkEnd w:id="238"/>
      <w:bookmarkEnd w:id="239"/>
      <w:r w:rsidRPr="00BD2DED">
        <w:t>Suivi des prestations proposées par le titulaire</w:t>
      </w:r>
      <w:bookmarkEnd w:id="308"/>
      <w:bookmarkEnd w:id="309"/>
    </w:p>
    <w:p w14:paraId="0F08D501" w14:textId="77777777" w:rsidR="00BD2DED" w:rsidRPr="00BD2DED" w:rsidRDefault="00BD2DED" w:rsidP="00163268">
      <w:pPr>
        <w:pStyle w:val="Paragraphetexte"/>
      </w:pPr>
      <w:r w:rsidRPr="00BD2DED">
        <w:t>Le titulaire s’engage à satisfaire aux exigences de qualité et de livraison décrites dans le cahier des clauses techniques particulières, dans le présent cahier des clauses administratives particulières et aux engagements pris dans le cahier des réponses attendues et dans le mémoire technique remis à l’appui de l’offre.</w:t>
      </w:r>
    </w:p>
    <w:p w14:paraId="60E03A03" w14:textId="77777777" w:rsidR="00BD2DED" w:rsidRPr="00BD2DED" w:rsidRDefault="00BD2DED" w:rsidP="00163268">
      <w:pPr>
        <w:pStyle w:val="Paragraphetexte"/>
      </w:pPr>
      <w:r w:rsidRPr="00BD2DED">
        <w:t>Le non-respect des dispositions du présent article, sans préjudice des pénalités prévues à l’article 11 ci-dessus, peut avoir pour conséquence la résiliation du marché aux torts du titulaire.</w:t>
      </w:r>
      <w:bookmarkEnd w:id="218"/>
      <w:bookmarkEnd w:id="219"/>
      <w:bookmarkEnd w:id="220"/>
      <w:bookmarkEnd w:id="221"/>
      <w:bookmarkEnd w:id="222"/>
      <w:bookmarkEnd w:id="223"/>
      <w:bookmarkEnd w:id="224"/>
      <w:bookmarkEnd w:id="225"/>
      <w:bookmarkEnd w:id="226"/>
      <w:bookmarkEnd w:id="227"/>
      <w:bookmarkEnd w:id="228"/>
    </w:p>
    <w:p w14:paraId="151E7D34" w14:textId="77777777" w:rsidR="00BD2DED" w:rsidRPr="00BD2DED" w:rsidRDefault="00BD2DED" w:rsidP="00612CF9">
      <w:pPr>
        <w:pStyle w:val="1Article"/>
      </w:pPr>
      <w:bookmarkStart w:id="310" w:name="_Toc357428217"/>
      <w:bookmarkStart w:id="311" w:name="_Toc357589895"/>
      <w:bookmarkStart w:id="312" w:name="_Toc358298118"/>
      <w:bookmarkStart w:id="313" w:name="_Toc526353966"/>
      <w:bookmarkStart w:id="314" w:name="_Toc9349823"/>
      <w:bookmarkStart w:id="315" w:name="_Toc29302403"/>
      <w:bookmarkStart w:id="316" w:name="_Toc31035696"/>
      <w:bookmarkStart w:id="317" w:name="_Toc43883256"/>
      <w:bookmarkStart w:id="318" w:name="_Toc90473432"/>
      <w:bookmarkStart w:id="319" w:name="_Toc222388774"/>
      <w:r w:rsidRPr="00BD2DED">
        <w:t>Langue</w:t>
      </w:r>
      <w:bookmarkEnd w:id="310"/>
      <w:bookmarkEnd w:id="311"/>
      <w:bookmarkEnd w:id="312"/>
      <w:bookmarkEnd w:id="313"/>
      <w:bookmarkEnd w:id="314"/>
      <w:bookmarkEnd w:id="315"/>
      <w:bookmarkEnd w:id="316"/>
      <w:bookmarkEnd w:id="317"/>
      <w:bookmarkEnd w:id="318"/>
      <w:bookmarkEnd w:id="319"/>
    </w:p>
    <w:p w14:paraId="4DB5EDE2" w14:textId="77777777" w:rsidR="00BD2DED" w:rsidRPr="00BD2DED" w:rsidRDefault="00BD2DED" w:rsidP="00612CF9">
      <w:pPr>
        <w:pStyle w:val="Paragraphetexte"/>
      </w:pPr>
      <w:r w:rsidRPr="00BD2DED">
        <w:t>Les documents relatifs au présent marché ainsi que les documents échangés pour son exécution sont rédigés en français.</w:t>
      </w:r>
    </w:p>
    <w:p w14:paraId="5773E791" w14:textId="77777777" w:rsidR="00BD2DED" w:rsidRPr="00BD2DED" w:rsidRDefault="00BD2DED" w:rsidP="00612CF9">
      <w:pPr>
        <w:pStyle w:val="1Article"/>
      </w:pPr>
      <w:bookmarkStart w:id="320" w:name="_Toc526353967"/>
      <w:bookmarkStart w:id="321" w:name="_Toc9349824"/>
      <w:bookmarkStart w:id="322" w:name="_Toc29302404"/>
      <w:bookmarkStart w:id="323" w:name="_Toc31035697"/>
      <w:bookmarkStart w:id="324" w:name="_Toc43883257"/>
      <w:bookmarkStart w:id="325" w:name="_Toc90473433"/>
      <w:bookmarkStart w:id="326" w:name="_Toc222388775"/>
      <w:r w:rsidRPr="00BD2DED">
        <w:t>Contentieux</w:t>
      </w:r>
      <w:bookmarkEnd w:id="320"/>
      <w:bookmarkEnd w:id="321"/>
      <w:bookmarkEnd w:id="322"/>
      <w:bookmarkEnd w:id="323"/>
      <w:bookmarkEnd w:id="324"/>
      <w:bookmarkEnd w:id="325"/>
      <w:bookmarkEnd w:id="326"/>
    </w:p>
    <w:p w14:paraId="1487982B" w14:textId="1F4913D9" w:rsidR="00BD2DED" w:rsidRPr="00BD2DED" w:rsidRDefault="00BD2DED" w:rsidP="00612CF9">
      <w:pPr>
        <w:pStyle w:val="Paragraphetexte"/>
        <w:rPr>
          <w:highlight w:val="yellow"/>
        </w:rPr>
      </w:pPr>
      <w:r w:rsidRPr="00BD2DED">
        <w:t>Les litiges sont portés devant le Tribunal administratif de Paris, 7 rue de Jouy, 75181 PARIS CEDEX 04. Téléphone</w:t>
      </w:r>
      <w:r w:rsidR="009310AE">
        <w:t> </w:t>
      </w:r>
      <w:r w:rsidRPr="00BD2DED">
        <w:t>: 01 44 59 44 00</w:t>
      </w:r>
      <w:r w:rsidR="009310AE">
        <w:t> </w:t>
      </w:r>
      <w:r w:rsidRPr="00BD2DED">
        <w:t>; télécopie</w:t>
      </w:r>
      <w:r w:rsidR="009310AE">
        <w:t> </w:t>
      </w:r>
      <w:r w:rsidRPr="00BD2DED">
        <w:t>: 01 44 59 46 46.</w:t>
      </w:r>
    </w:p>
    <w:p w14:paraId="30E57214" w14:textId="77777777" w:rsidR="00BD2DED" w:rsidRPr="00BD2DED" w:rsidRDefault="00BD2DED" w:rsidP="00746756">
      <w:pPr>
        <w:pStyle w:val="1Article"/>
      </w:pPr>
      <w:bookmarkStart w:id="327" w:name="_Toc228810836"/>
      <w:bookmarkStart w:id="328" w:name="_Toc228855479"/>
      <w:bookmarkStart w:id="329" w:name="_Toc228855680"/>
      <w:bookmarkStart w:id="330" w:name="_Toc228855880"/>
      <w:bookmarkStart w:id="331" w:name="_Toc228856059"/>
      <w:bookmarkStart w:id="332" w:name="_Toc228856183"/>
      <w:bookmarkStart w:id="333" w:name="_Toc229286101"/>
      <w:bookmarkStart w:id="334" w:name="_Toc229286145"/>
      <w:bookmarkStart w:id="335" w:name="_Toc229286889"/>
      <w:bookmarkStart w:id="336" w:name="_Toc229371972"/>
      <w:bookmarkStart w:id="337" w:name="_Toc236020560"/>
      <w:bookmarkStart w:id="338" w:name="_Toc242179750"/>
      <w:bookmarkStart w:id="339" w:name="_Toc327459799"/>
      <w:bookmarkStart w:id="340" w:name="_Toc333566318"/>
      <w:bookmarkStart w:id="341" w:name="_Toc90473434"/>
      <w:bookmarkStart w:id="342" w:name="_Toc222388776"/>
      <w:r w:rsidRPr="00BD2DED">
        <w:lastRenderedPageBreak/>
        <w:t xml:space="preserve">Dérogations au </w:t>
      </w:r>
      <w:proofErr w:type="spellStart"/>
      <w:r w:rsidRPr="00BD2DED">
        <w:t>ccag</w:t>
      </w:r>
      <w:proofErr w:type="spellEnd"/>
      <w:r w:rsidRPr="00BD2DED">
        <w:t>-FCS</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056"/>
      </w:tblGrid>
      <w:tr w:rsidR="00BD2DED" w:rsidRPr="00BD2DED" w14:paraId="7E764DEF" w14:textId="77777777" w:rsidTr="0081420A">
        <w:trPr>
          <w:cantSplit/>
          <w:trHeight w:val="851"/>
          <w:jc w:val="center"/>
        </w:trPr>
        <w:tc>
          <w:tcPr>
            <w:tcW w:w="4059" w:type="dxa"/>
            <w:shd w:val="clear" w:color="auto" w:fill="auto"/>
            <w:vAlign w:val="center"/>
          </w:tcPr>
          <w:p w14:paraId="6D56358A" w14:textId="77777777" w:rsidR="00BD2DED" w:rsidRPr="00BD2DED" w:rsidRDefault="00BD2DED" w:rsidP="00CC2B07">
            <w:pPr>
              <w:pStyle w:val="TTableauTitre"/>
            </w:pPr>
            <w:r w:rsidRPr="00BD2DED">
              <w:t>Articles du CCAG-FCS</w:t>
            </w:r>
            <w:r w:rsidRPr="00BD2DED">
              <w:br/>
              <w:t>auxquels il est dérogé</w:t>
            </w:r>
          </w:p>
        </w:tc>
        <w:tc>
          <w:tcPr>
            <w:tcW w:w="4056" w:type="dxa"/>
            <w:shd w:val="clear" w:color="auto" w:fill="auto"/>
            <w:vAlign w:val="center"/>
          </w:tcPr>
          <w:p w14:paraId="1F50EBE4" w14:textId="77777777" w:rsidR="00BD2DED" w:rsidRPr="00BD2DED" w:rsidRDefault="00BD2DED" w:rsidP="00CC2B07">
            <w:pPr>
              <w:pStyle w:val="TTableauTitre"/>
            </w:pPr>
            <w:r w:rsidRPr="00BD2DED">
              <w:t>Articles du CCAP par lesquels sont introduites ces dérogations</w:t>
            </w:r>
          </w:p>
        </w:tc>
      </w:tr>
      <w:tr w:rsidR="00BD2DED" w:rsidRPr="00BD2DED" w14:paraId="39D8EB23" w14:textId="77777777" w:rsidTr="0081420A">
        <w:trPr>
          <w:cantSplit/>
          <w:trHeight w:val="454"/>
          <w:jc w:val="center"/>
        </w:trPr>
        <w:tc>
          <w:tcPr>
            <w:tcW w:w="4059" w:type="dxa"/>
            <w:shd w:val="clear" w:color="auto" w:fill="auto"/>
            <w:vAlign w:val="center"/>
          </w:tcPr>
          <w:p w14:paraId="1B98CE4D" w14:textId="62C0F9E9" w:rsidR="00BD2DED" w:rsidRPr="00BD2DED" w:rsidRDefault="00BD2DED" w:rsidP="00CC2B07">
            <w:pPr>
              <w:pStyle w:val="T3TableauTexte"/>
            </w:pPr>
            <w:r w:rsidRPr="00BD2DED">
              <w:t xml:space="preserve">4.1 </w:t>
            </w:r>
            <w:r w:rsidR="009310AE">
              <w:t>–</w:t>
            </w:r>
            <w:r w:rsidRPr="00BD2DED">
              <w:t xml:space="preserve"> Ordre de priorité des pièces contractuelles</w:t>
            </w:r>
          </w:p>
        </w:tc>
        <w:tc>
          <w:tcPr>
            <w:tcW w:w="4056" w:type="dxa"/>
            <w:shd w:val="clear" w:color="auto" w:fill="auto"/>
            <w:vAlign w:val="center"/>
          </w:tcPr>
          <w:p w14:paraId="502F18D8" w14:textId="5DB5DB84" w:rsidR="00BD2DED" w:rsidRPr="00BD2DED" w:rsidRDefault="00BD2DED" w:rsidP="00CC2B07">
            <w:pPr>
              <w:pStyle w:val="T3TableauTexte"/>
            </w:pPr>
            <w:r w:rsidRPr="00BD2DED">
              <w:t xml:space="preserve">4 </w:t>
            </w:r>
            <w:r w:rsidR="009310AE">
              <w:t>–</w:t>
            </w:r>
            <w:r w:rsidRPr="00BD2DED">
              <w:t xml:space="preserve"> Pièces constitutives du marché</w:t>
            </w:r>
          </w:p>
        </w:tc>
      </w:tr>
      <w:tr w:rsidR="009310AE" w:rsidRPr="00BD2DED" w14:paraId="1C135264" w14:textId="77777777" w:rsidTr="0081420A">
        <w:trPr>
          <w:cantSplit/>
          <w:trHeight w:val="454"/>
          <w:jc w:val="center"/>
        </w:trPr>
        <w:tc>
          <w:tcPr>
            <w:tcW w:w="4059" w:type="dxa"/>
            <w:shd w:val="clear" w:color="auto" w:fill="auto"/>
            <w:vAlign w:val="center"/>
          </w:tcPr>
          <w:p w14:paraId="5B45A025" w14:textId="47479A18" w:rsidR="009310AE" w:rsidRPr="00BD2DED" w:rsidRDefault="009310AE" w:rsidP="00CC2B07">
            <w:pPr>
              <w:pStyle w:val="T3TableauTexte"/>
            </w:pPr>
            <w:r>
              <w:t xml:space="preserve">10.2. – Détermination des prix du </w:t>
            </w:r>
            <w:r w:rsidR="002D5313">
              <w:t>règlement</w:t>
            </w:r>
          </w:p>
        </w:tc>
        <w:tc>
          <w:tcPr>
            <w:tcW w:w="4056" w:type="dxa"/>
            <w:shd w:val="clear" w:color="auto" w:fill="auto"/>
            <w:vAlign w:val="center"/>
          </w:tcPr>
          <w:p w14:paraId="191D8210" w14:textId="1DD17284" w:rsidR="009310AE" w:rsidRPr="00BD2DED" w:rsidRDefault="009310AE" w:rsidP="00CC2B07">
            <w:pPr>
              <w:pStyle w:val="T3TableauTexte"/>
            </w:pPr>
            <w:r>
              <w:t xml:space="preserve">9 – Modalités de </w:t>
            </w:r>
            <w:r w:rsidR="002D5313">
              <w:t>règlement</w:t>
            </w:r>
          </w:p>
        </w:tc>
      </w:tr>
      <w:tr w:rsidR="00BD2DED" w:rsidRPr="00BD2DED" w14:paraId="73263BBB" w14:textId="77777777" w:rsidTr="0081420A">
        <w:trPr>
          <w:cantSplit/>
          <w:trHeight w:val="918"/>
          <w:jc w:val="center"/>
        </w:trPr>
        <w:tc>
          <w:tcPr>
            <w:tcW w:w="4059" w:type="dxa"/>
            <w:shd w:val="clear" w:color="auto" w:fill="auto"/>
            <w:vAlign w:val="center"/>
          </w:tcPr>
          <w:p w14:paraId="51C1814B" w14:textId="77777777" w:rsidR="00BD2DED" w:rsidRPr="00BD2DED" w:rsidRDefault="00BD2DED" w:rsidP="00CC2B07">
            <w:pPr>
              <w:pStyle w:val="T3TableauTexte"/>
              <w:rPr>
                <w:highlight w:val="yellow"/>
              </w:rPr>
            </w:pPr>
            <w:r w:rsidRPr="00BD2DED">
              <w:t>14.1 - Pénalités</w:t>
            </w:r>
          </w:p>
          <w:p w14:paraId="078A0373" w14:textId="77777777" w:rsidR="00BD2DED" w:rsidRPr="00BD2DED" w:rsidRDefault="00BD2DED" w:rsidP="00CC2B07">
            <w:pPr>
              <w:pStyle w:val="T3TableauTexte"/>
              <w:rPr>
                <w:highlight w:val="yellow"/>
              </w:rPr>
            </w:pPr>
            <w:r w:rsidRPr="00BD2DED">
              <w:t>16.2 - Clauses environnementales</w:t>
            </w:r>
          </w:p>
        </w:tc>
        <w:tc>
          <w:tcPr>
            <w:tcW w:w="4056" w:type="dxa"/>
            <w:shd w:val="clear" w:color="auto" w:fill="auto"/>
            <w:vAlign w:val="center"/>
          </w:tcPr>
          <w:p w14:paraId="54B30727" w14:textId="77777777" w:rsidR="00BD2DED" w:rsidRPr="00BD2DED" w:rsidRDefault="00BD2DED" w:rsidP="00CC2B07">
            <w:pPr>
              <w:pStyle w:val="T3TableauTexte"/>
              <w:rPr>
                <w:highlight w:val="yellow"/>
              </w:rPr>
            </w:pPr>
            <w:r w:rsidRPr="00BD2DED">
              <w:t>11 – Retards et pénalités</w:t>
            </w:r>
          </w:p>
        </w:tc>
      </w:tr>
      <w:tr w:rsidR="00BD2DED" w:rsidRPr="00BD2DED" w14:paraId="53F007F3" w14:textId="77777777" w:rsidTr="0081420A">
        <w:trPr>
          <w:cantSplit/>
          <w:trHeight w:val="454"/>
          <w:jc w:val="center"/>
        </w:trPr>
        <w:tc>
          <w:tcPr>
            <w:tcW w:w="4059" w:type="dxa"/>
            <w:shd w:val="clear" w:color="auto" w:fill="auto"/>
            <w:vAlign w:val="center"/>
          </w:tcPr>
          <w:p w14:paraId="1CCE6999" w14:textId="77777777" w:rsidR="00BD2DED" w:rsidRPr="00BD2DED" w:rsidRDefault="00BD2DED" w:rsidP="00CC2B07">
            <w:pPr>
              <w:pStyle w:val="T3TableauTexte"/>
            </w:pPr>
            <w:r w:rsidRPr="00BD2DED">
              <w:t>38 - résiliation principes généraux</w:t>
            </w:r>
          </w:p>
          <w:p w14:paraId="35B5E561" w14:textId="77777777" w:rsidR="00BD2DED" w:rsidRPr="00BD2DED" w:rsidRDefault="00BD2DED" w:rsidP="00CC2B07">
            <w:pPr>
              <w:pStyle w:val="T3TableauTexte"/>
              <w:rPr>
                <w:highlight w:val="yellow"/>
              </w:rPr>
            </w:pPr>
            <w:r w:rsidRPr="00BD2DED">
              <w:t xml:space="preserve">42 - résiliation pour motif d’intérêt général </w:t>
            </w:r>
          </w:p>
        </w:tc>
        <w:tc>
          <w:tcPr>
            <w:tcW w:w="4056" w:type="dxa"/>
            <w:shd w:val="clear" w:color="auto" w:fill="auto"/>
            <w:vAlign w:val="center"/>
          </w:tcPr>
          <w:p w14:paraId="1E2D8911" w14:textId="77777777" w:rsidR="00BD2DED" w:rsidRPr="00BD2DED" w:rsidRDefault="00BD2DED" w:rsidP="00CC2B07">
            <w:pPr>
              <w:pStyle w:val="T3TableauTexte"/>
              <w:rPr>
                <w:highlight w:val="yellow"/>
              </w:rPr>
            </w:pPr>
            <w:r w:rsidRPr="00BD2DED">
              <w:t>12 - Résiliation</w:t>
            </w:r>
          </w:p>
        </w:tc>
      </w:t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tbl>
    <w:p w14:paraId="3A6DC6A6" w14:textId="77777777" w:rsidR="00BD2DED" w:rsidRPr="00BD2DED" w:rsidRDefault="00BD2DED" w:rsidP="00BD2DED">
      <w:pPr>
        <w:overflowPunct/>
        <w:autoSpaceDE/>
        <w:autoSpaceDN/>
        <w:adjustRightInd/>
        <w:spacing w:before="120"/>
        <w:textAlignment w:val="auto"/>
        <w:rPr>
          <w:sz w:val="24"/>
          <w:szCs w:val="24"/>
        </w:rPr>
      </w:pPr>
    </w:p>
    <w:p w14:paraId="65B560BF" w14:textId="7E67E8A4" w:rsidR="00F46E3B" w:rsidRDefault="00F46E3B">
      <w:pPr>
        <w:overflowPunct/>
        <w:autoSpaceDE/>
        <w:autoSpaceDN/>
        <w:adjustRightInd/>
        <w:spacing w:after="200" w:line="276" w:lineRule="auto"/>
        <w:jc w:val="left"/>
        <w:textAlignment w:val="auto"/>
      </w:pPr>
    </w:p>
    <w:bookmarkEnd w:id="2"/>
    <w:p w14:paraId="47E5ED79" w14:textId="0BA2C4E3" w:rsidR="002811C7" w:rsidRPr="00A7225A" w:rsidRDefault="002811C7" w:rsidP="0052104A">
      <w:pPr>
        <w:ind w:right="-1"/>
        <w:rPr>
          <w:szCs w:val="22"/>
        </w:rPr>
      </w:pPr>
    </w:p>
    <w:sectPr w:rsidR="002811C7" w:rsidRPr="00A7225A" w:rsidSect="00E561B9">
      <w:headerReference w:type="default" r:id="rId9"/>
      <w:footnotePr>
        <w:numRestart w:val="eachPage"/>
      </w:footnotePr>
      <w:pgSz w:w="11906" w:h="16838" w:code="9"/>
      <w:pgMar w:top="1276" w:right="170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39F2A" w14:textId="77777777" w:rsidR="00EC31B8" w:rsidRDefault="00EC31B8">
      <w:r>
        <w:separator/>
      </w:r>
    </w:p>
    <w:p w14:paraId="31ADCFD2" w14:textId="77777777" w:rsidR="00EC31B8" w:rsidRDefault="00EC31B8"/>
  </w:endnote>
  <w:endnote w:type="continuationSeparator" w:id="0">
    <w:p w14:paraId="524338ED" w14:textId="77777777" w:rsidR="00EC31B8" w:rsidRDefault="00EC31B8">
      <w:r>
        <w:continuationSeparator/>
      </w:r>
    </w:p>
    <w:p w14:paraId="77EBCA77" w14:textId="77777777" w:rsidR="00EC31B8" w:rsidRDefault="00EC31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panose1 w:val="02020803070505020304"/>
    <w:charset w:val="00"/>
    <w:family w:val="roman"/>
    <w:notTrueType/>
    <w:pitch w:val="default"/>
  </w:font>
  <w:font w:name="Arial (W1)">
    <w:altName w:val="Arial"/>
    <w:charset w:val="00"/>
    <w:family w:val="swiss"/>
    <w:pitch w:val="variable"/>
    <w:sig w:usb0="00000000"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Geneva">
    <w:altName w:val="Arial"/>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AEF13" w14:textId="77777777" w:rsidR="00EC31B8" w:rsidRDefault="00EC31B8">
      <w:r>
        <w:separator/>
      </w:r>
    </w:p>
  </w:footnote>
  <w:footnote w:type="continuationSeparator" w:id="0">
    <w:p w14:paraId="32A6820A" w14:textId="77777777" w:rsidR="00EC31B8" w:rsidRDefault="00EC31B8">
      <w:r>
        <w:continuationSeparator/>
      </w:r>
    </w:p>
    <w:p w14:paraId="38D779EC" w14:textId="77777777" w:rsidR="00EC31B8" w:rsidRDefault="00EC31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546512"/>
      <w:docPartObj>
        <w:docPartGallery w:val="Page Numbers (Top of Page)"/>
        <w:docPartUnique/>
      </w:docPartObj>
    </w:sdtPr>
    <w:sdtEndPr/>
    <w:sdtContent>
      <w:p w14:paraId="78A5EC5A" w14:textId="77777777" w:rsidR="002C5F66" w:rsidRDefault="00AE5103">
        <w:pPr>
          <w:jc w:val="right"/>
        </w:pPr>
        <w:r>
          <w:fldChar w:fldCharType="begin"/>
        </w:r>
        <w:r>
          <w:instrText>PAGE   \* MERGEFORMAT</w:instrText>
        </w:r>
        <w:r>
          <w:fldChar w:fldCharType="separate"/>
        </w:r>
        <w:r>
          <w:t>2</w:t>
        </w:r>
        <w:r>
          <w:fldChar w:fldCharType="end"/>
        </w:r>
      </w:p>
    </w:sdtContent>
  </w:sdt>
  <w:p w14:paraId="106920D9" w14:textId="77777777" w:rsidR="002C5F66" w:rsidRDefault="00C030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634B"/>
    <w:multiLevelType w:val="multilevel"/>
    <w:tmpl w:val="08F2A536"/>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 w15:restartNumberingAfterBreak="0">
    <w:nsid w:val="0E83776F"/>
    <w:multiLevelType w:val="hybridMultilevel"/>
    <w:tmpl w:val="801C20E4"/>
    <w:lvl w:ilvl="0" w:tplc="067050F6">
      <w:start w:val="1"/>
      <w:numFmt w:val="bullet"/>
      <w:lvlText w:val="-"/>
      <w:lvlJc w:val="left"/>
      <w:pPr>
        <w:tabs>
          <w:tab w:val="num" w:pos="3054"/>
        </w:tabs>
        <w:ind w:left="3054" w:hanging="360"/>
      </w:pPr>
      <w:rPr>
        <w:rFonts w:ascii="Times New Roman" w:hAnsi="Times New Roman" w:cs="Times New Roman" w:hint="default"/>
      </w:rPr>
    </w:lvl>
    <w:lvl w:ilvl="1" w:tplc="AB6022C4">
      <w:numFmt w:val="bullet"/>
      <w:lvlText w:val=""/>
      <w:lvlJc w:val="left"/>
      <w:pPr>
        <w:ind w:left="2031" w:hanging="384"/>
      </w:pPr>
      <w:rPr>
        <w:rFonts w:ascii="Symbol" w:eastAsia="Times New Roman" w:hAnsi="Symbol"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8F52D108">
      <w:numFmt w:val="bullet"/>
      <w:lvlText w:val="·"/>
      <w:lvlJc w:val="left"/>
      <w:pPr>
        <w:ind w:left="3819" w:hanging="732"/>
      </w:pPr>
      <w:rPr>
        <w:rFonts w:ascii="Times New Roman" w:eastAsia="Times New Roman" w:hAnsi="Times New Roman" w:cs="Times New Roman"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102A5D97"/>
    <w:multiLevelType w:val="multilevel"/>
    <w:tmpl w:val="A76EBE58"/>
    <w:lvl w:ilvl="0">
      <w:start w:val="1"/>
      <w:numFmt w:val="decimal"/>
      <w:pStyle w:val="DCEArticle"/>
      <w:isLgl/>
      <w:suff w:val="nothing"/>
      <w:lvlText w:val="ARTICLE %1 - "/>
      <w:lvlJc w:val="left"/>
      <w:pPr>
        <w:ind w:left="7230"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Car"/>
      <w:suff w:val="space"/>
      <w:lvlText w:val="%1.%2.%3."/>
      <w:lvlJc w:val="left"/>
      <w:pPr>
        <w:ind w:left="-283" w:firstLine="1134"/>
      </w:pPr>
      <w:rPr>
        <w:rFonts w:ascii="Times New Roman" w:hAnsi="Times New Roman" w:hint="default"/>
      </w:rPr>
    </w:lvl>
    <w:lvl w:ilvl="3">
      <w:start w:val="1"/>
      <w:numFmt w:val="decimal"/>
      <w:pStyle w:val="DCETitre4"/>
      <w:suff w:val="space"/>
      <w:lvlText w:val="%1.%2.%3.%4."/>
      <w:lvlJc w:val="left"/>
      <w:pPr>
        <w:ind w:left="1"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3" w15:restartNumberingAfterBreak="0">
    <w:nsid w:val="135F66D3"/>
    <w:multiLevelType w:val="hybridMultilevel"/>
    <w:tmpl w:val="12DE325A"/>
    <w:lvl w:ilvl="0" w:tplc="A13E7618">
      <w:start w:val="7"/>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162A0FE7"/>
    <w:multiLevelType w:val="hybridMultilevel"/>
    <w:tmpl w:val="A42A7858"/>
    <w:lvl w:ilvl="0" w:tplc="4DBEE90A">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7C7100"/>
    <w:multiLevelType w:val="hybridMultilevel"/>
    <w:tmpl w:val="DB0C01EC"/>
    <w:lvl w:ilvl="0" w:tplc="7F02DC40">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3167FA"/>
    <w:multiLevelType w:val="hybridMultilevel"/>
    <w:tmpl w:val="3154D602"/>
    <w:lvl w:ilvl="0" w:tplc="9A62142E">
      <w:start w:val="1"/>
      <w:numFmt w:val="bullet"/>
      <w:pStyle w:val="T5Tableaupuce1"/>
      <w:lvlText w:val=""/>
      <w:lvlJc w:val="left"/>
      <w:pPr>
        <w:ind w:left="720" w:hanging="360"/>
      </w:pPr>
      <w:rPr>
        <w:rFonts w:ascii="Symbol" w:hAnsi="Symbol" w:hint="default"/>
      </w:rPr>
    </w:lvl>
    <w:lvl w:ilvl="1" w:tplc="8D0A37F8">
      <w:start w:val="1"/>
      <w:numFmt w:val="bullet"/>
      <w:pStyle w:val="Pucedeparagraph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A0090B"/>
    <w:multiLevelType w:val="hybridMultilevel"/>
    <w:tmpl w:val="53A6626A"/>
    <w:lvl w:ilvl="0" w:tplc="FBEC337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D07B3D"/>
    <w:multiLevelType w:val="hybridMultilevel"/>
    <w:tmpl w:val="5BC4E7D8"/>
    <w:lvl w:ilvl="0" w:tplc="067050F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8262BA"/>
    <w:multiLevelType w:val="multilevel"/>
    <w:tmpl w:val="192E5BF0"/>
    <w:lvl w:ilvl="0">
      <w:start w:val="1"/>
      <w:numFmt w:val="decimal"/>
      <w:pStyle w:val="1Article"/>
      <w:suff w:val="space"/>
      <w:lvlText w:val="ARTICLE %1.— "/>
      <w:lvlJc w:val="left"/>
      <w:pPr>
        <w:ind w:left="2381" w:hanging="2381"/>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Titre2-RC"/>
      <w:lvlText w:val="%1.%2."/>
      <w:lvlJc w:val="left"/>
      <w:pPr>
        <w:tabs>
          <w:tab w:val="num" w:pos="431"/>
        </w:tabs>
        <w:ind w:left="431" w:hanging="71"/>
      </w:pPr>
      <w:rPr>
        <w:rFonts w:ascii="Times New Roman" w:hAnsi="Times New Roman" w:cs="Times New Roman" w:hint="default"/>
        <w:b/>
        <w:i w:val="0"/>
        <w:color w:val="1C1E39"/>
        <w:sz w:val="22"/>
      </w:rPr>
    </w:lvl>
    <w:lvl w:ilvl="2">
      <w:start w:val="1"/>
      <w:numFmt w:val="decimal"/>
      <w:pStyle w:val="3Titre3-RC"/>
      <w:suff w:val="space"/>
      <w:lvlText w:val="%1.%2.%3."/>
      <w:lvlJc w:val="left"/>
      <w:pPr>
        <w:ind w:left="1588" w:hanging="868"/>
      </w:pPr>
      <w:rPr>
        <w:rFonts w:ascii="Times New Roman" w:hAnsi="Times New Roman" w:cs="Times New Roman" w:hint="default"/>
        <w:b w:val="0"/>
        <w:bCs w:val="0"/>
        <w:i/>
        <w:iCs/>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Titre4-RC"/>
      <w:suff w:val="space"/>
      <w:lvlText w:val="%1.%2.%3.%4."/>
      <w:lvlJc w:val="left"/>
      <w:pPr>
        <w:ind w:left="2268" w:hanging="118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CD0DC2"/>
    <w:multiLevelType w:val="hybridMultilevel"/>
    <w:tmpl w:val="152483BA"/>
    <w:lvl w:ilvl="0" w:tplc="067050F6">
      <w:start w:val="1"/>
      <w:numFmt w:val="bullet"/>
      <w:lvlText w:val="-"/>
      <w:lvlJc w:val="left"/>
      <w:pPr>
        <w:ind w:left="360" w:hanging="360"/>
      </w:pPr>
      <w:rPr>
        <w:rFonts w:ascii="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90974FF"/>
    <w:multiLevelType w:val="hybridMultilevel"/>
    <w:tmpl w:val="6FD83A04"/>
    <w:lvl w:ilvl="0" w:tplc="FE907C54">
      <w:start w:val="1"/>
      <w:numFmt w:val="bullet"/>
      <w:pStyle w:val="Pucedeparagraphe1"/>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7DE50064"/>
    <w:multiLevelType w:val="hybridMultilevel"/>
    <w:tmpl w:val="33B8958A"/>
    <w:lvl w:ilvl="0" w:tplc="FBEC337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6"/>
  </w:num>
  <w:num w:numId="5">
    <w:abstractNumId w:val="9"/>
  </w:num>
  <w:num w:numId="6">
    <w:abstractNumId w:val="9"/>
    <w:lvlOverride w:ilvl="0">
      <w:lvl w:ilvl="0">
        <w:start w:val="1"/>
        <w:numFmt w:val="decimal"/>
        <w:pStyle w:val="1Article"/>
        <w:suff w:val="space"/>
        <w:lvlText w:val="ARTICLE %1.— "/>
        <w:lvlJc w:val="left"/>
        <w:pPr>
          <w:ind w:left="2381" w:hanging="238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Titre2-RC"/>
        <w:lvlText w:val="%1.%2."/>
        <w:lvlJc w:val="left"/>
        <w:pPr>
          <w:tabs>
            <w:tab w:val="num" w:pos="431"/>
          </w:tabs>
          <w:ind w:left="431" w:hanging="71"/>
        </w:pPr>
        <w:rPr>
          <w:rFonts w:ascii="Times New Roman" w:hAnsi="Times New Roman" w:cs="Times New Roman" w:hint="default"/>
          <w:b/>
          <w:i w:val="0"/>
          <w:color w:val="1C1E39"/>
          <w:sz w:val="22"/>
        </w:rPr>
      </w:lvl>
    </w:lvlOverride>
    <w:lvlOverride w:ilvl="2">
      <w:lvl w:ilvl="2">
        <w:start w:val="1"/>
        <w:numFmt w:val="decimal"/>
        <w:pStyle w:val="3Titre3-RC"/>
        <w:suff w:val="space"/>
        <w:lvlText w:val="%1.%2.%3."/>
        <w:lvlJc w:val="left"/>
        <w:pPr>
          <w:ind w:left="1588" w:hanging="868"/>
        </w:pPr>
        <w:rPr>
          <w:rFonts w:ascii="Times New Roman" w:hAnsi="Times New Roman" w:cs="Times New Roman" w:hint="default"/>
          <w:b w:val="0"/>
          <w:bCs w:val="0"/>
          <w:i/>
          <w:iCs/>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Titre4-RC"/>
        <w:suff w:val="space"/>
        <w:lvlText w:val="%1.%2.%3.%4."/>
        <w:lvlJc w:val="left"/>
        <w:pPr>
          <w:ind w:left="2268" w:hanging="11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9"/>
    <w:lvlOverride w:ilvl="0">
      <w:lvl w:ilvl="0">
        <w:start w:val="1"/>
        <w:numFmt w:val="decimal"/>
        <w:pStyle w:val="1Article"/>
        <w:suff w:val="space"/>
        <w:lvlText w:val="ARTICLE %1.— "/>
        <w:lvlJc w:val="left"/>
        <w:pPr>
          <w:ind w:left="2381" w:hanging="238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Titre2-RC"/>
        <w:suff w:val="space"/>
        <w:lvlText w:val="%1.%2."/>
        <w:lvlJc w:val="left"/>
        <w:pPr>
          <w:ind w:left="1021" w:hanging="661"/>
        </w:pPr>
        <w:rPr>
          <w:rFonts w:ascii="Times New Roman" w:hAnsi="Times New Roman" w:cs="Times New Roman" w:hint="default"/>
          <w:b/>
          <w:i w:val="0"/>
          <w:color w:val="1C1E39"/>
          <w:sz w:val="22"/>
        </w:rPr>
      </w:lvl>
    </w:lvlOverride>
    <w:lvlOverride w:ilvl="2">
      <w:lvl w:ilvl="2">
        <w:start w:val="1"/>
        <w:numFmt w:val="decimal"/>
        <w:pStyle w:val="3Titre3-RC"/>
        <w:suff w:val="space"/>
        <w:lvlText w:val="%1.%2.%3."/>
        <w:lvlJc w:val="left"/>
        <w:pPr>
          <w:ind w:left="1588" w:hanging="868"/>
        </w:pPr>
        <w:rPr>
          <w:rFonts w:ascii="Times New Roman" w:hAnsi="Times New Roman" w:cs="Times New Roman" w:hint="default"/>
          <w:b w:val="0"/>
          <w:bCs w:val="0"/>
          <w:i/>
          <w:iCs/>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Titre4-RC"/>
        <w:suff w:val="space"/>
        <w:lvlText w:val="%1.%2.%3.%4."/>
        <w:lvlJc w:val="left"/>
        <w:pPr>
          <w:ind w:left="2268" w:hanging="11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2"/>
  </w:num>
  <w:num w:numId="9">
    <w:abstractNumId w:val="1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7"/>
  </w:num>
  <w:num w:numId="14">
    <w:abstractNumId w:val="13"/>
  </w:num>
  <w:num w:numId="15">
    <w:abstractNumId w:val="11"/>
  </w:num>
  <w:num w:numId="16">
    <w:abstractNumId w:val="8"/>
  </w:num>
  <w:num w:numId="17">
    <w:abstractNumId w:val="1"/>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867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1B8"/>
    <w:rsid w:val="00026BA4"/>
    <w:rsid w:val="00027551"/>
    <w:rsid w:val="00037FC2"/>
    <w:rsid w:val="00040DAE"/>
    <w:rsid w:val="00062B25"/>
    <w:rsid w:val="000732FF"/>
    <w:rsid w:val="00074D72"/>
    <w:rsid w:val="00082082"/>
    <w:rsid w:val="000875F6"/>
    <w:rsid w:val="00097C15"/>
    <w:rsid w:val="000A1308"/>
    <w:rsid w:val="000A59FB"/>
    <w:rsid w:val="000B380D"/>
    <w:rsid w:val="000C33E4"/>
    <w:rsid w:val="000F7E9A"/>
    <w:rsid w:val="001249AB"/>
    <w:rsid w:val="00130BFD"/>
    <w:rsid w:val="0015107D"/>
    <w:rsid w:val="001605E1"/>
    <w:rsid w:val="00163268"/>
    <w:rsid w:val="00166E0C"/>
    <w:rsid w:val="001709F0"/>
    <w:rsid w:val="001757EF"/>
    <w:rsid w:val="00185B04"/>
    <w:rsid w:val="001917F1"/>
    <w:rsid w:val="001B1DE3"/>
    <w:rsid w:val="001B2C92"/>
    <w:rsid w:val="001C1B1F"/>
    <w:rsid w:val="001C6871"/>
    <w:rsid w:val="001F36BB"/>
    <w:rsid w:val="00202767"/>
    <w:rsid w:val="00210496"/>
    <w:rsid w:val="00215BB6"/>
    <w:rsid w:val="00215CCE"/>
    <w:rsid w:val="00226063"/>
    <w:rsid w:val="002465AA"/>
    <w:rsid w:val="002538B8"/>
    <w:rsid w:val="00267CE0"/>
    <w:rsid w:val="002729E8"/>
    <w:rsid w:val="002811C7"/>
    <w:rsid w:val="002D5313"/>
    <w:rsid w:val="002D6D90"/>
    <w:rsid w:val="002D6E02"/>
    <w:rsid w:val="002E3366"/>
    <w:rsid w:val="002E5C7C"/>
    <w:rsid w:val="002F21BE"/>
    <w:rsid w:val="00305057"/>
    <w:rsid w:val="00307047"/>
    <w:rsid w:val="00313D85"/>
    <w:rsid w:val="003228B2"/>
    <w:rsid w:val="00337D1F"/>
    <w:rsid w:val="00362905"/>
    <w:rsid w:val="003660A6"/>
    <w:rsid w:val="0038171F"/>
    <w:rsid w:val="00392BFB"/>
    <w:rsid w:val="003963D3"/>
    <w:rsid w:val="003A02CA"/>
    <w:rsid w:val="003A25D5"/>
    <w:rsid w:val="003B5FC2"/>
    <w:rsid w:val="003C3E0E"/>
    <w:rsid w:val="003C5960"/>
    <w:rsid w:val="003D2A1A"/>
    <w:rsid w:val="003F248F"/>
    <w:rsid w:val="00407ADB"/>
    <w:rsid w:val="004103CA"/>
    <w:rsid w:val="00414654"/>
    <w:rsid w:val="00414B9B"/>
    <w:rsid w:val="00422B72"/>
    <w:rsid w:val="00422B98"/>
    <w:rsid w:val="00425291"/>
    <w:rsid w:val="0042583D"/>
    <w:rsid w:val="004266B0"/>
    <w:rsid w:val="0042685E"/>
    <w:rsid w:val="0043019C"/>
    <w:rsid w:val="004356E0"/>
    <w:rsid w:val="00444492"/>
    <w:rsid w:val="004520CE"/>
    <w:rsid w:val="00457797"/>
    <w:rsid w:val="00482970"/>
    <w:rsid w:val="00492042"/>
    <w:rsid w:val="0049595D"/>
    <w:rsid w:val="004972D0"/>
    <w:rsid w:val="004A7420"/>
    <w:rsid w:val="004B08BE"/>
    <w:rsid w:val="004C098E"/>
    <w:rsid w:val="004C3339"/>
    <w:rsid w:val="004D3173"/>
    <w:rsid w:val="004D420F"/>
    <w:rsid w:val="004D5466"/>
    <w:rsid w:val="004E355D"/>
    <w:rsid w:val="004E373E"/>
    <w:rsid w:val="004E5268"/>
    <w:rsid w:val="004F08B7"/>
    <w:rsid w:val="004F2DA6"/>
    <w:rsid w:val="004F64D2"/>
    <w:rsid w:val="004F7170"/>
    <w:rsid w:val="00500F35"/>
    <w:rsid w:val="0052104A"/>
    <w:rsid w:val="005256BA"/>
    <w:rsid w:val="00535C33"/>
    <w:rsid w:val="00537B5F"/>
    <w:rsid w:val="00537BFB"/>
    <w:rsid w:val="0055402A"/>
    <w:rsid w:val="00556397"/>
    <w:rsid w:val="00557BC8"/>
    <w:rsid w:val="005634AD"/>
    <w:rsid w:val="00570A8D"/>
    <w:rsid w:val="0057115D"/>
    <w:rsid w:val="00577CFB"/>
    <w:rsid w:val="00580BA0"/>
    <w:rsid w:val="00585351"/>
    <w:rsid w:val="005B212A"/>
    <w:rsid w:val="005B2292"/>
    <w:rsid w:val="005B2CC4"/>
    <w:rsid w:val="005B5045"/>
    <w:rsid w:val="005B784F"/>
    <w:rsid w:val="005D3CDB"/>
    <w:rsid w:val="005E1B90"/>
    <w:rsid w:val="005E6D2C"/>
    <w:rsid w:val="005F0FB5"/>
    <w:rsid w:val="005F18C3"/>
    <w:rsid w:val="00607699"/>
    <w:rsid w:val="00612CF9"/>
    <w:rsid w:val="00613D5E"/>
    <w:rsid w:val="00621FE0"/>
    <w:rsid w:val="0062397E"/>
    <w:rsid w:val="00624148"/>
    <w:rsid w:val="0065249F"/>
    <w:rsid w:val="00653731"/>
    <w:rsid w:val="006675A6"/>
    <w:rsid w:val="0068141E"/>
    <w:rsid w:val="00693DE8"/>
    <w:rsid w:val="0069479A"/>
    <w:rsid w:val="006A255A"/>
    <w:rsid w:val="006A639C"/>
    <w:rsid w:val="006A7A65"/>
    <w:rsid w:val="006B1630"/>
    <w:rsid w:val="006B7865"/>
    <w:rsid w:val="006C4591"/>
    <w:rsid w:val="006C6A4E"/>
    <w:rsid w:val="006D019A"/>
    <w:rsid w:val="006D7F19"/>
    <w:rsid w:val="006E6E68"/>
    <w:rsid w:val="006F4CDE"/>
    <w:rsid w:val="00710301"/>
    <w:rsid w:val="00716EEF"/>
    <w:rsid w:val="007233D6"/>
    <w:rsid w:val="007443CA"/>
    <w:rsid w:val="00746756"/>
    <w:rsid w:val="00754270"/>
    <w:rsid w:val="00763953"/>
    <w:rsid w:val="00764523"/>
    <w:rsid w:val="00770B52"/>
    <w:rsid w:val="00790F07"/>
    <w:rsid w:val="00792B34"/>
    <w:rsid w:val="007A5570"/>
    <w:rsid w:val="007B2270"/>
    <w:rsid w:val="007B4116"/>
    <w:rsid w:val="007D58E9"/>
    <w:rsid w:val="007E4BE5"/>
    <w:rsid w:val="00804C1C"/>
    <w:rsid w:val="00812B59"/>
    <w:rsid w:val="00827D57"/>
    <w:rsid w:val="008376E6"/>
    <w:rsid w:val="00850658"/>
    <w:rsid w:val="008511A9"/>
    <w:rsid w:val="008556FB"/>
    <w:rsid w:val="00862CAF"/>
    <w:rsid w:val="00864311"/>
    <w:rsid w:val="008660C1"/>
    <w:rsid w:val="00870207"/>
    <w:rsid w:val="00871A7A"/>
    <w:rsid w:val="008729F8"/>
    <w:rsid w:val="00873C19"/>
    <w:rsid w:val="00884FD7"/>
    <w:rsid w:val="00886DD6"/>
    <w:rsid w:val="0089514C"/>
    <w:rsid w:val="008A0340"/>
    <w:rsid w:val="008A7DA1"/>
    <w:rsid w:val="008F4079"/>
    <w:rsid w:val="008F50F1"/>
    <w:rsid w:val="00915B6D"/>
    <w:rsid w:val="00930585"/>
    <w:rsid w:val="009310AE"/>
    <w:rsid w:val="00931D13"/>
    <w:rsid w:val="00936E58"/>
    <w:rsid w:val="009A21DB"/>
    <w:rsid w:val="009B2702"/>
    <w:rsid w:val="009B2B88"/>
    <w:rsid w:val="009B3C35"/>
    <w:rsid w:val="009C0B12"/>
    <w:rsid w:val="009D2311"/>
    <w:rsid w:val="009D3BF0"/>
    <w:rsid w:val="009D5459"/>
    <w:rsid w:val="009E3E5F"/>
    <w:rsid w:val="009E557B"/>
    <w:rsid w:val="009F0551"/>
    <w:rsid w:val="00A146C4"/>
    <w:rsid w:val="00A159CA"/>
    <w:rsid w:val="00A16ECA"/>
    <w:rsid w:val="00A22583"/>
    <w:rsid w:val="00A23291"/>
    <w:rsid w:val="00A34EF9"/>
    <w:rsid w:val="00A356AC"/>
    <w:rsid w:val="00A41064"/>
    <w:rsid w:val="00A563D3"/>
    <w:rsid w:val="00A66F5E"/>
    <w:rsid w:val="00A7225A"/>
    <w:rsid w:val="00A72CEF"/>
    <w:rsid w:val="00A73441"/>
    <w:rsid w:val="00A82512"/>
    <w:rsid w:val="00A86359"/>
    <w:rsid w:val="00A8696A"/>
    <w:rsid w:val="00A92EC1"/>
    <w:rsid w:val="00AA34E8"/>
    <w:rsid w:val="00AB2D2D"/>
    <w:rsid w:val="00AC7833"/>
    <w:rsid w:val="00AD05B7"/>
    <w:rsid w:val="00AE0B6B"/>
    <w:rsid w:val="00AE5103"/>
    <w:rsid w:val="00AE5BF3"/>
    <w:rsid w:val="00AF18B8"/>
    <w:rsid w:val="00B05815"/>
    <w:rsid w:val="00B06B2C"/>
    <w:rsid w:val="00B079EC"/>
    <w:rsid w:val="00B1235F"/>
    <w:rsid w:val="00B23F0F"/>
    <w:rsid w:val="00B30106"/>
    <w:rsid w:val="00B452B2"/>
    <w:rsid w:val="00B6387B"/>
    <w:rsid w:val="00B64D2F"/>
    <w:rsid w:val="00B6676C"/>
    <w:rsid w:val="00B74C13"/>
    <w:rsid w:val="00B771D0"/>
    <w:rsid w:val="00B954D4"/>
    <w:rsid w:val="00BA16F3"/>
    <w:rsid w:val="00BA3D44"/>
    <w:rsid w:val="00BC330E"/>
    <w:rsid w:val="00BC7BD2"/>
    <w:rsid w:val="00BD1A80"/>
    <w:rsid w:val="00BD2DED"/>
    <w:rsid w:val="00BD44CA"/>
    <w:rsid w:val="00BE0EEA"/>
    <w:rsid w:val="00BE2C19"/>
    <w:rsid w:val="00BF4789"/>
    <w:rsid w:val="00BF5919"/>
    <w:rsid w:val="00C03034"/>
    <w:rsid w:val="00C077A9"/>
    <w:rsid w:val="00C07D81"/>
    <w:rsid w:val="00C111A5"/>
    <w:rsid w:val="00C14347"/>
    <w:rsid w:val="00C152A7"/>
    <w:rsid w:val="00C15562"/>
    <w:rsid w:val="00C30DDA"/>
    <w:rsid w:val="00C41C48"/>
    <w:rsid w:val="00C50BDF"/>
    <w:rsid w:val="00C511DF"/>
    <w:rsid w:val="00C51A5B"/>
    <w:rsid w:val="00C80484"/>
    <w:rsid w:val="00C82E0D"/>
    <w:rsid w:val="00C929C4"/>
    <w:rsid w:val="00CA662E"/>
    <w:rsid w:val="00CB3321"/>
    <w:rsid w:val="00CC0206"/>
    <w:rsid w:val="00CC1A83"/>
    <w:rsid w:val="00CC2B07"/>
    <w:rsid w:val="00CD63B9"/>
    <w:rsid w:val="00CD644C"/>
    <w:rsid w:val="00D0163F"/>
    <w:rsid w:val="00D17BC1"/>
    <w:rsid w:val="00D40570"/>
    <w:rsid w:val="00D4074D"/>
    <w:rsid w:val="00D52B32"/>
    <w:rsid w:val="00D61ACB"/>
    <w:rsid w:val="00D71E6D"/>
    <w:rsid w:val="00D82F8E"/>
    <w:rsid w:val="00D8353B"/>
    <w:rsid w:val="00D84475"/>
    <w:rsid w:val="00D90D5E"/>
    <w:rsid w:val="00D9523D"/>
    <w:rsid w:val="00DB3F47"/>
    <w:rsid w:val="00DB6BFF"/>
    <w:rsid w:val="00DC3E47"/>
    <w:rsid w:val="00DD1B33"/>
    <w:rsid w:val="00DD3EF4"/>
    <w:rsid w:val="00DF0705"/>
    <w:rsid w:val="00DF213A"/>
    <w:rsid w:val="00E11A57"/>
    <w:rsid w:val="00E24FD5"/>
    <w:rsid w:val="00E27F27"/>
    <w:rsid w:val="00E309C7"/>
    <w:rsid w:val="00E30CFF"/>
    <w:rsid w:val="00E35C54"/>
    <w:rsid w:val="00E36ACC"/>
    <w:rsid w:val="00E44747"/>
    <w:rsid w:val="00E518F5"/>
    <w:rsid w:val="00E536DF"/>
    <w:rsid w:val="00E561B9"/>
    <w:rsid w:val="00E56FC4"/>
    <w:rsid w:val="00E601EC"/>
    <w:rsid w:val="00E61647"/>
    <w:rsid w:val="00E63022"/>
    <w:rsid w:val="00E808A7"/>
    <w:rsid w:val="00E9314B"/>
    <w:rsid w:val="00EA015E"/>
    <w:rsid w:val="00EA5666"/>
    <w:rsid w:val="00EB40E3"/>
    <w:rsid w:val="00EC31B8"/>
    <w:rsid w:val="00ED3425"/>
    <w:rsid w:val="00EE665E"/>
    <w:rsid w:val="00EF6A84"/>
    <w:rsid w:val="00F141D4"/>
    <w:rsid w:val="00F15A51"/>
    <w:rsid w:val="00F35323"/>
    <w:rsid w:val="00F367B2"/>
    <w:rsid w:val="00F42168"/>
    <w:rsid w:val="00F4672E"/>
    <w:rsid w:val="00F46E3B"/>
    <w:rsid w:val="00F475DB"/>
    <w:rsid w:val="00F47619"/>
    <w:rsid w:val="00F50C0B"/>
    <w:rsid w:val="00F65272"/>
    <w:rsid w:val="00F672F0"/>
    <w:rsid w:val="00F71808"/>
    <w:rsid w:val="00F81F70"/>
    <w:rsid w:val="00F83249"/>
    <w:rsid w:val="00F84CA8"/>
    <w:rsid w:val="00F91097"/>
    <w:rsid w:val="00FA2B1A"/>
    <w:rsid w:val="00FB19F3"/>
    <w:rsid w:val="00FB31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A27E44"/>
  <w15:chartTrackingRefBased/>
  <w15:docId w15:val="{007E6463-8D3A-4153-92CF-B02654FC1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3D5E"/>
    <w:pPr>
      <w:overflowPunct w:val="0"/>
      <w:autoSpaceDE w:val="0"/>
      <w:autoSpaceDN w:val="0"/>
      <w:adjustRightInd w:val="0"/>
      <w:spacing w:after="120" w:line="240" w:lineRule="auto"/>
      <w:jc w:val="both"/>
      <w:textAlignment w:val="baseline"/>
    </w:pPr>
    <w:rPr>
      <w:rFonts w:ascii="Times New Roman" w:eastAsia="Times New Roman" w:hAnsi="Times New Roman" w:cs="Times New Roman"/>
      <w:szCs w:val="20"/>
      <w:lang w:eastAsia="fr-FR"/>
    </w:rPr>
  </w:style>
  <w:style w:type="paragraph" w:styleId="Titre1">
    <w:name w:val="heading 1"/>
    <w:aliases w:val="NE PAS UTILISER"/>
    <w:basedOn w:val="Normal"/>
    <w:next w:val="Normal"/>
    <w:link w:val="Titre1Car"/>
    <w:uiPriority w:val="9"/>
    <w:rsid w:val="00C82E0D"/>
    <w:pPr>
      <w:keepNext/>
      <w:keepLines/>
      <w:numPr>
        <w:numId w:val="2"/>
      </w:numPr>
      <w:outlineLvl w:val="0"/>
    </w:pPr>
    <w:rPr>
      <w:rFonts w:asciiTheme="majorHAnsi" w:eastAsiaTheme="majorEastAsia" w:hAnsiTheme="majorHAnsi" w:cstheme="majorBidi"/>
      <w:color w:val="943634" w:themeColor="accent2" w:themeShade="BF"/>
      <w:sz w:val="32"/>
      <w:szCs w:val="32"/>
    </w:rPr>
  </w:style>
  <w:style w:type="paragraph" w:styleId="Titre2">
    <w:name w:val="heading 2"/>
    <w:aliases w:val="NE PAS UTILISER1"/>
    <w:basedOn w:val="Normal"/>
    <w:next w:val="Normal"/>
    <w:link w:val="Titre2Car"/>
    <w:uiPriority w:val="9"/>
    <w:unhideWhenUsed/>
    <w:rsid w:val="002E5C7C"/>
    <w:pPr>
      <w:keepNext/>
      <w:keepLines/>
      <w:numPr>
        <w:ilvl w:val="1"/>
        <w:numId w:val="2"/>
      </w:numPr>
      <w:spacing w:before="40"/>
      <w:outlineLvl w:val="1"/>
    </w:pPr>
    <w:rPr>
      <w:rFonts w:asciiTheme="majorHAnsi" w:eastAsiaTheme="majorEastAsia" w:hAnsiTheme="majorHAnsi" w:cstheme="majorBidi"/>
      <w:color w:val="943634" w:themeColor="accent2" w:themeShade="BF"/>
      <w:sz w:val="26"/>
      <w:szCs w:val="26"/>
    </w:rPr>
  </w:style>
  <w:style w:type="paragraph" w:styleId="Titre3">
    <w:name w:val="heading 3"/>
    <w:aliases w:val="NE PAS UTILISER3"/>
    <w:basedOn w:val="Normal"/>
    <w:next w:val="Normal"/>
    <w:link w:val="Titre3Car"/>
    <w:uiPriority w:val="9"/>
    <w:unhideWhenUsed/>
    <w:rsid w:val="00537BFB"/>
    <w:pPr>
      <w:keepNext/>
      <w:keepLines/>
      <w:numPr>
        <w:ilvl w:val="2"/>
        <w:numId w:val="2"/>
      </w:numPr>
      <w:spacing w:before="40"/>
      <w:outlineLvl w:val="2"/>
    </w:pPr>
    <w:rPr>
      <w:rFonts w:asciiTheme="majorHAnsi" w:eastAsiaTheme="majorEastAsia" w:hAnsiTheme="majorHAnsi" w:cstheme="majorBidi"/>
      <w:color w:val="943634" w:themeColor="accent2" w:themeShade="BF"/>
      <w:szCs w:val="24"/>
    </w:rPr>
  </w:style>
  <w:style w:type="paragraph" w:styleId="Titre4">
    <w:name w:val="heading 4"/>
    <w:aliases w:val="NE PAS UTILISER4"/>
    <w:basedOn w:val="Normal"/>
    <w:next w:val="Normal"/>
    <w:link w:val="Titre4Car"/>
    <w:uiPriority w:val="9"/>
    <w:semiHidden/>
    <w:unhideWhenUsed/>
    <w:rsid w:val="00537BFB"/>
    <w:pPr>
      <w:keepNext/>
      <w:keepLines/>
      <w:numPr>
        <w:ilvl w:val="3"/>
        <w:numId w:val="2"/>
      </w:numPr>
      <w:spacing w:before="40"/>
      <w:outlineLvl w:val="3"/>
    </w:pPr>
    <w:rPr>
      <w:rFonts w:asciiTheme="majorHAnsi" w:eastAsiaTheme="majorEastAsia" w:hAnsiTheme="majorHAnsi" w:cstheme="majorBidi"/>
      <w:i/>
      <w:iCs/>
      <w:color w:val="943634" w:themeColor="accent2" w:themeShade="BF"/>
    </w:rPr>
  </w:style>
  <w:style w:type="paragraph" w:styleId="Titre5">
    <w:name w:val="heading 5"/>
    <w:basedOn w:val="Normal"/>
    <w:next w:val="Normal"/>
    <w:link w:val="Titre5Car"/>
    <w:uiPriority w:val="9"/>
    <w:semiHidden/>
    <w:unhideWhenUsed/>
    <w:qFormat/>
    <w:rsid w:val="000732FF"/>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0732FF"/>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0732FF"/>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0732F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732F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rsid w:val="00C80484"/>
  </w:style>
  <w:style w:type="paragraph" w:styleId="Pieddepage">
    <w:name w:val="footer"/>
    <w:basedOn w:val="Normal"/>
    <w:link w:val="PieddepageCar"/>
    <w:uiPriority w:val="99"/>
    <w:rsid w:val="00BC7BD2"/>
    <w:pPr>
      <w:tabs>
        <w:tab w:val="center" w:pos="4536"/>
        <w:tab w:val="right" w:pos="9072"/>
      </w:tabs>
      <w:spacing w:after="0"/>
    </w:pPr>
  </w:style>
  <w:style w:type="character" w:customStyle="1" w:styleId="PieddepageCar">
    <w:name w:val="Pied de page Car"/>
    <w:basedOn w:val="Policepardfaut"/>
    <w:link w:val="Pieddepage"/>
    <w:uiPriority w:val="99"/>
    <w:rsid w:val="00BC7BD2"/>
    <w:rPr>
      <w:rFonts w:ascii="Times New Roman" w:eastAsia="Times New Roman" w:hAnsi="Times New Roman" w:cs="Times New Roman"/>
      <w:szCs w:val="20"/>
      <w:lang w:eastAsia="fr-FR"/>
    </w:rPr>
  </w:style>
  <w:style w:type="paragraph" w:customStyle="1" w:styleId="1Article">
    <w:name w:val="1_Article"/>
    <w:basedOn w:val="Normal"/>
    <w:next w:val="2Titre2-RC"/>
    <w:autoRedefine/>
    <w:qFormat/>
    <w:rsid w:val="00C50BDF"/>
    <w:pPr>
      <w:keepNext/>
      <w:keepLines/>
      <w:numPr>
        <w:numId w:val="1"/>
      </w:numPr>
      <w:overflowPunct/>
      <w:autoSpaceDE/>
      <w:autoSpaceDN/>
      <w:adjustRightInd/>
      <w:spacing w:before="360" w:after="360" w:line="276" w:lineRule="auto"/>
      <w:textAlignment w:val="auto"/>
      <w:outlineLvl w:val="0"/>
    </w:pPr>
    <w:rPr>
      <w:rFonts w:ascii="Times New Roman Gras" w:eastAsiaTheme="majorEastAsia" w:hAnsi="Times New Roman Gras"/>
      <w:b/>
      <w:smallCaps/>
      <w:szCs w:val="28"/>
      <w14:scene3d>
        <w14:camera w14:prst="orthographicFront"/>
        <w14:lightRig w14:rig="threePt" w14:dir="t">
          <w14:rot w14:lat="0" w14:lon="0" w14:rev="0"/>
        </w14:lightRig>
      </w14:scene3d>
    </w:rPr>
  </w:style>
  <w:style w:type="paragraph" w:customStyle="1" w:styleId="TITREPIECE">
    <w:name w:val="TITRE PIECE"/>
    <w:basedOn w:val="Normal"/>
    <w:next w:val="Normal"/>
    <w:semiHidden/>
    <w:rsid w:val="00C80484"/>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customStyle="1" w:styleId="StyleArialW116ptPetitesmajusculesCentrHautSimple">
    <w:name w:val="Style Arial (W1) 16 pt Petites majuscules Centré Haut: (Simple..."/>
    <w:basedOn w:val="Normal"/>
    <w:semiHidden/>
    <w:rsid w:val="00C80484"/>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Titre2Car">
    <w:name w:val="Titre 2 Car"/>
    <w:aliases w:val="NE PAS UTILISER1 Car"/>
    <w:basedOn w:val="Policepardfaut"/>
    <w:link w:val="Titre2"/>
    <w:uiPriority w:val="9"/>
    <w:rsid w:val="002E5C7C"/>
    <w:rPr>
      <w:rFonts w:asciiTheme="majorHAnsi" w:eastAsiaTheme="majorEastAsia" w:hAnsiTheme="majorHAnsi" w:cstheme="majorBidi"/>
      <w:color w:val="943634" w:themeColor="accent2" w:themeShade="BF"/>
      <w:sz w:val="26"/>
      <w:szCs w:val="26"/>
      <w:lang w:eastAsia="fr-FR"/>
    </w:rPr>
  </w:style>
  <w:style w:type="character" w:customStyle="1" w:styleId="Titre1Car">
    <w:name w:val="Titre 1 Car"/>
    <w:aliases w:val="NE PAS UTILISER Car"/>
    <w:basedOn w:val="Policepardfaut"/>
    <w:link w:val="Titre1"/>
    <w:uiPriority w:val="9"/>
    <w:rsid w:val="00C82E0D"/>
    <w:rPr>
      <w:rFonts w:asciiTheme="majorHAnsi" w:eastAsiaTheme="majorEastAsia" w:hAnsiTheme="majorHAnsi" w:cstheme="majorBidi"/>
      <w:color w:val="943634" w:themeColor="accent2" w:themeShade="BF"/>
      <w:sz w:val="32"/>
      <w:szCs w:val="32"/>
      <w:lang w:eastAsia="fr-FR"/>
    </w:rPr>
  </w:style>
  <w:style w:type="paragraph" w:customStyle="1" w:styleId="2Titre2-RC">
    <w:name w:val="2_Titre 2 - RC"/>
    <w:basedOn w:val="Titre2"/>
    <w:next w:val="Normal"/>
    <w:autoRedefine/>
    <w:qFormat/>
    <w:rsid w:val="00CB3321"/>
    <w:pPr>
      <w:numPr>
        <w:numId w:val="7"/>
      </w:numPr>
      <w:spacing w:before="360" w:after="360"/>
    </w:pPr>
    <w:rPr>
      <w:rFonts w:ascii="Times New Roman" w:hAnsi="Times New Roman" w:cs="Times New Roman"/>
      <w:b/>
      <w:bCs/>
      <w:color w:val="1C1E39"/>
      <w:sz w:val="22"/>
      <w:szCs w:val="22"/>
    </w:rPr>
  </w:style>
  <w:style w:type="character" w:customStyle="1" w:styleId="Titre3Car">
    <w:name w:val="Titre 3 Car"/>
    <w:aliases w:val="NE PAS UTILISER3 Car"/>
    <w:basedOn w:val="Policepardfaut"/>
    <w:link w:val="Titre3"/>
    <w:uiPriority w:val="9"/>
    <w:rsid w:val="00537BFB"/>
    <w:rPr>
      <w:rFonts w:asciiTheme="majorHAnsi" w:eastAsiaTheme="majorEastAsia" w:hAnsiTheme="majorHAnsi" w:cstheme="majorBidi"/>
      <w:color w:val="943634" w:themeColor="accent2" w:themeShade="BF"/>
      <w:szCs w:val="24"/>
      <w:lang w:eastAsia="fr-FR"/>
    </w:rPr>
  </w:style>
  <w:style w:type="character" w:customStyle="1" w:styleId="Titre4Car">
    <w:name w:val="Titre 4 Car"/>
    <w:aliases w:val="NE PAS UTILISER4 Car"/>
    <w:basedOn w:val="Policepardfaut"/>
    <w:link w:val="Titre4"/>
    <w:uiPriority w:val="9"/>
    <w:semiHidden/>
    <w:rsid w:val="00537BFB"/>
    <w:rPr>
      <w:rFonts w:asciiTheme="majorHAnsi" w:eastAsiaTheme="majorEastAsia" w:hAnsiTheme="majorHAnsi" w:cstheme="majorBidi"/>
      <w:i/>
      <w:iCs/>
      <w:color w:val="943634" w:themeColor="accent2" w:themeShade="BF"/>
      <w:szCs w:val="20"/>
      <w:lang w:eastAsia="fr-FR"/>
    </w:rPr>
  </w:style>
  <w:style w:type="character" w:customStyle="1" w:styleId="Titre5Car">
    <w:name w:val="Titre 5 Car"/>
    <w:basedOn w:val="Policepardfaut"/>
    <w:link w:val="Titre5"/>
    <w:uiPriority w:val="9"/>
    <w:semiHidden/>
    <w:rsid w:val="000732FF"/>
    <w:rPr>
      <w:rFonts w:asciiTheme="majorHAnsi" w:eastAsiaTheme="majorEastAsia" w:hAnsiTheme="majorHAnsi" w:cstheme="majorBidi"/>
      <w:color w:val="365F91" w:themeColor="accent1" w:themeShade="BF"/>
      <w:sz w:val="24"/>
      <w:szCs w:val="20"/>
      <w:lang w:eastAsia="fr-FR"/>
    </w:rPr>
  </w:style>
  <w:style w:type="character" w:customStyle="1" w:styleId="Titre6Car">
    <w:name w:val="Titre 6 Car"/>
    <w:basedOn w:val="Policepardfaut"/>
    <w:link w:val="Titre6"/>
    <w:uiPriority w:val="9"/>
    <w:semiHidden/>
    <w:rsid w:val="000732FF"/>
    <w:rPr>
      <w:rFonts w:asciiTheme="majorHAnsi" w:eastAsiaTheme="majorEastAsia" w:hAnsiTheme="majorHAnsi" w:cstheme="majorBidi"/>
      <w:color w:val="243F60" w:themeColor="accent1" w:themeShade="7F"/>
      <w:sz w:val="24"/>
      <w:szCs w:val="20"/>
      <w:lang w:eastAsia="fr-FR"/>
    </w:rPr>
  </w:style>
  <w:style w:type="character" w:customStyle="1" w:styleId="Titre7Car">
    <w:name w:val="Titre 7 Car"/>
    <w:basedOn w:val="Policepardfaut"/>
    <w:link w:val="Titre7"/>
    <w:uiPriority w:val="9"/>
    <w:semiHidden/>
    <w:rsid w:val="000732FF"/>
    <w:rPr>
      <w:rFonts w:asciiTheme="majorHAnsi" w:eastAsiaTheme="majorEastAsia" w:hAnsiTheme="majorHAnsi" w:cstheme="majorBidi"/>
      <w:i/>
      <w:iCs/>
      <w:color w:val="243F60" w:themeColor="accent1" w:themeShade="7F"/>
      <w:sz w:val="24"/>
      <w:szCs w:val="20"/>
      <w:lang w:eastAsia="fr-FR"/>
    </w:rPr>
  </w:style>
  <w:style w:type="character" w:customStyle="1" w:styleId="Titre8Car">
    <w:name w:val="Titre 8 Car"/>
    <w:basedOn w:val="Policepardfaut"/>
    <w:link w:val="Titre8"/>
    <w:uiPriority w:val="9"/>
    <w:semiHidden/>
    <w:rsid w:val="000732FF"/>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732FF"/>
    <w:rPr>
      <w:rFonts w:asciiTheme="majorHAnsi" w:eastAsiaTheme="majorEastAsia" w:hAnsiTheme="majorHAnsi" w:cstheme="majorBidi"/>
      <w:i/>
      <w:iCs/>
      <w:color w:val="272727" w:themeColor="text1" w:themeTint="D8"/>
      <w:sz w:val="21"/>
      <w:szCs w:val="21"/>
      <w:lang w:eastAsia="fr-FR"/>
    </w:rPr>
  </w:style>
  <w:style w:type="paragraph" w:customStyle="1" w:styleId="3Titre3-RC">
    <w:name w:val="3_Titre 3 - RC"/>
    <w:basedOn w:val="Titre3"/>
    <w:next w:val="Normal"/>
    <w:autoRedefine/>
    <w:qFormat/>
    <w:rsid w:val="008A7DA1"/>
    <w:pPr>
      <w:numPr>
        <w:numId w:val="6"/>
      </w:numPr>
      <w:spacing w:before="360" w:after="360"/>
    </w:pPr>
    <w:rPr>
      <w:rFonts w:ascii="Times New Roman" w:hAnsi="Times New Roman" w:cs="Times New Roman"/>
      <w:i/>
      <w:iCs/>
      <w:color w:val="auto"/>
    </w:rPr>
  </w:style>
  <w:style w:type="paragraph" w:customStyle="1" w:styleId="4Titre4-RC">
    <w:name w:val="4_Titre 4 - RC"/>
    <w:basedOn w:val="Titre4"/>
    <w:next w:val="Normal"/>
    <w:autoRedefine/>
    <w:qFormat/>
    <w:rsid w:val="00CB3321"/>
    <w:pPr>
      <w:numPr>
        <w:numId w:val="5"/>
      </w:numPr>
      <w:spacing w:before="360" w:after="360"/>
    </w:pPr>
    <w:rPr>
      <w:rFonts w:ascii="Times New Roman" w:hAnsi="Times New Roman" w:cs="Times New Roman"/>
      <w:i w:val="0"/>
      <w:iCs w:val="0"/>
      <w:color w:val="1C1E39"/>
      <w:szCs w:val="22"/>
    </w:rPr>
  </w:style>
  <w:style w:type="paragraph" w:styleId="TM1">
    <w:name w:val="toc 1"/>
    <w:basedOn w:val="Normal"/>
    <w:next w:val="Normal"/>
    <w:autoRedefine/>
    <w:uiPriority w:val="39"/>
    <w:unhideWhenUsed/>
    <w:rsid w:val="004D420F"/>
    <w:pPr>
      <w:tabs>
        <w:tab w:val="right" w:leader="dot" w:pos="9630"/>
      </w:tabs>
    </w:pPr>
    <w:rPr>
      <w:smallCaps/>
      <w:color w:val="1C1E39"/>
    </w:rPr>
  </w:style>
  <w:style w:type="paragraph" w:styleId="TM2">
    <w:name w:val="toc 2"/>
    <w:basedOn w:val="Normal"/>
    <w:next w:val="Normal"/>
    <w:autoRedefine/>
    <w:uiPriority w:val="39"/>
    <w:unhideWhenUsed/>
    <w:rsid w:val="00F672F0"/>
    <w:pPr>
      <w:tabs>
        <w:tab w:val="right" w:leader="dot" w:pos="9630"/>
      </w:tabs>
      <w:ind w:left="238"/>
    </w:pPr>
    <w:rPr>
      <w:rFonts w:eastAsiaTheme="majorEastAsia"/>
      <w:noProof/>
      <w:color w:val="1C1E39"/>
    </w:rPr>
  </w:style>
  <w:style w:type="paragraph" w:styleId="TM3">
    <w:name w:val="toc 3"/>
    <w:basedOn w:val="Normal"/>
    <w:next w:val="Normal"/>
    <w:autoRedefine/>
    <w:uiPriority w:val="39"/>
    <w:unhideWhenUsed/>
    <w:rsid w:val="00457797"/>
    <w:pPr>
      <w:ind w:left="482"/>
    </w:pPr>
    <w:rPr>
      <w:rFonts w:ascii="Times" w:hAnsi="Times"/>
      <w:color w:val="1C1E39"/>
    </w:rPr>
  </w:style>
  <w:style w:type="paragraph" w:styleId="TM4">
    <w:name w:val="toc 4"/>
    <w:basedOn w:val="Normal"/>
    <w:next w:val="Normal"/>
    <w:autoRedefine/>
    <w:uiPriority w:val="39"/>
    <w:unhideWhenUsed/>
    <w:rsid w:val="00457797"/>
    <w:pPr>
      <w:ind w:left="720"/>
    </w:pPr>
    <w:rPr>
      <w:color w:val="1C1E39"/>
    </w:rPr>
  </w:style>
  <w:style w:type="paragraph" w:customStyle="1" w:styleId="Paragraphetexte">
    <w:name w:val="Paragraphe texte"/>
    <w:basedOn w:val="Normal"/>
    <w:qFormat/>
    <w:rsid w:val="00F47619"/>
  </w:style>
  <w:style w:type="paragraph" w:customStyle="1" w:styleId="Pucedeparagraphe2">
    <w:name w:val="Puce de paragraphe 2"/>
    <w:basedOn w:val="Normal"/>
    <w:qFormat/>
    <w:rsid w:val="00A86359"/>
    <w:pPr>
      <w:numPr>
        <w:ilvl w:val="1"/>
        <w:numId w:val="4"/>
      </w:numPr>
      <w:ind w:left="1134" w:hanging="425"/>
    </w:pPr>
    <w:rPr>
      <w:szCs w:val="18"/>
    </w:rPr>
  </w:style>
  <w:style w:type="paragraph" w:customStyle="1" w:styleId="Pucedeparagraphe1">
    <w:name w:val="Puce de paragraphe 1"/>
    <w:basedOn w:val="Normal"/>
    <w:rsid w:val="00A86359"/>
    <w:pPr>
      <w:numPr>
        <w:numId w:val="8"/>
      </w:numPr>
      <w:ind w:left="709" w:hanging="357"/>
    </w:pPr>
    <w:rPr>
      <w:szCs w:val="18"/>
    </w:rPr>
  </w:style>
  <w:style w:type="paragraph" w:customStyle="1" w:styleId="Notebasdepage">
    <w:name w:val="Note bas de page"/>
    <w:basedOn w:val="Normal"/>
    <w:next w:val="Normal"/>
    <w:link w:val="NotebasdepageCar"/>
    <w:autoRedefine/>
    <w:qFormat/>
    <w:rsid w:val="00210496"/>
    <w:pPr>
      <w:spacing w:after="0"/>
    </w:pPr>
    <w:rPr>
      <w:sz w:val="18"/>
      <w:szCs w:val="16"/>
    </w:rPr>
  </w:style>
  <w:style w:type="paragraph" w:customStyle="1" w:styleId="TTableauTitre">
    <w:name w:val="T_Tableau_Titre"/>
    <w:basedOn w:val="Normal"/>
    <w:qFormat/>
    <w:rsid w:val="00BD1A80"/>
    <w:pPr>
      <w:spacing w:before="120"/>
      <w:jc w:val="center"/>
    </w:pPr>
    <w:rPr>
      <w:b/>
      <w:bCs/>
      <w:sz w:val="20"/>
      <w:szCs w:val="18"/>
    </w:rPr>
  </w:style>
  <w:style w:type="character" w:customStyle="1" w:styleId="NotebasdepageCar">
    <w:name w:val="Note bas de page Car"/>
    <w:basedOn w:val="Policepardfaut"/>
    <w:link w:val="Notebasdepage"/>
    <w:rsid w:val="00210496"/>
    <w:rPr>
      <w:rFonts w:ascii="Times New Roman" w:eastAsia="Times New Roman" w:hAnsi="Times New Roman" w:cs="Times New Roman"/>
      <w:sz w:val="18"/>
      <w:szCs w:val="16"/>
      <w:lang w:eastAsia="fr-FR"/>
    </w:rPr>
  </w:style>
  <w:style w:type="paragraph" w:customStyle="1" w:styleId="T2Tableautitrecolonne">
    <w:name w:val="T2_Tableau_titre colonne"/>
    <w:basedOn w:val="TTableauTitre"/>
    <w:qFormat/>
    <w:rsid w:val="004E5268"/>
  </w:style>
  <w:style w:type="paragraph" w:customStyle="1" w:styleId="T3TableauTexte">
    <w:name w:val="T3_Tableau_Texte"/>
    <w:basedOn w:val="TTableauTitre"/>
    <w:qFormat/>
    <w:rsid w:val="00607699"/>
    <w:pPr>
      <w:jc w:val="both"/>
    </w:pPr>
    <w:rPr>
      <w:b w:val="0"/>
      <w:bCs w:val="0"/>
    </w:rPr>
  </w:style>
  <w:style w:type="paragraph" w:customStyle="1" w:styleId="T4Tableaulgende">
    <w:name w:val="T4_Tableau_légende"/>
    <w:basedOn w:val="T3TableauTexte"/>
    <w:qFormat/>
    <w:rsid w:val="003B5FC2"/>
    <w:pPr>
      <w:jc w:val="left"/>
    </w:pPr>
    <w:rPr>
      <w:i/>
      <w:iCs/>
      <w:sz w:val="18"/>
    </w:rPr>
  </w:style>
  <w:style w:type="paragraph" w:customStyle="1" w:styleId="T5Tableaupuce1">
    <w:name w:val="T5_Tableau_puce_1"/>
    <w:basedOn w:val="Normal"/>
    <w:qFormat/>
    <w:rsid w:val="00F71808"/>
    <w:pPr>
      <w:numPr>
        <w:numId w:val="4"/>
      </w:numPr>
      <w:ind w:left="714" w:hanging="357"/>
      <w:contextualSpacing/>
    </w:pPr>
    <w:rPr>
      <w:sz w:val="20"/>
      <w:szCs w:val="18"/>
    </w:rPr>
  </w:style>
  <w:style w:type="paragraph" w:customStyle="1" w:styleId="T6Tableaupuce2">
    <w:name w:val="T6_Tableau_puce_2"/>
    <w:basedOn w:val="Pucedeparagraphe2"/>
    <w:qFormat/>
    <w:rsid w:val="002729E8"/>
    <w:rPr>
      <w:sz w:val="20"/>
      <w:szCs w:val="16"/>
    </w:rPr>
  </w:style>
  <w:style w:type="character" w:styleId="Appelnotedebasdep">
    <w:name w:val="footnote reference"/>
    <w:rsid w:val="0042583D"/>
    <w:rPr>
      <w:rFonts w:ascii="Times New Roman" w:hAnsi="Times New Roman"/>
      <w:sz w:val="22"/>
      <w:vertAlign w:val="superscript"/>
    </w:rPr>
  </w:style>
  <w:style w:type="paragraph" w:styleId="En-ttedetabledesmatires">
    <w:name w:val="TOC Heading"/>
    <w:aliases w:val="SOMMAIRE"/>
    <w:basedOn w:val="Titre1"/>
    <w:next w:val="Normal"/>
    <w:uiPriority w:val="39"/>
    <w:unhideWhenUsed/>
    <w:qFormat/>
    <w:rsid w:val="006B7865"/>
    <w:pPr>
      <w:numPr>
        <w:numId w:val="0"/>
      </w:numPr>
      <w:overflowPunct/>
      <w:autoSpaceDE/>
      <w:autoSpaceDN/>
      <w:adjustRightInd/>
      <w:spacing w:before="240" w:after="0" w:line="259" w:lineRule="auto"/>
      <w:jc w:val="center"/>
      <w:textAlignment w:val="auto"/>
      <w:outlineLvl w:val="9"/>
    </w:pPr>
    <w:rPr>
      <w:rFonts w:ascii="Times New Roman Gras" w:hAnsi="Times New Roman Gras" w:cs="Times New Roman"/>
      <w:b/>
      <w:bCs/>
      <w:caps/>
      <w:color w:val="auto"/>
      <w:sz w:val="24"/>
      <w:szCs w:val="24"/>
    </w:rPr>
  </w:style>
  <w:style w:type="paragraph" w:customStyle="1" w:styleId="Encadrtexte">
    <w:name w:val="Encadré texte"/>
    <w:basedOn w:val="Normal"/>
    <w:qFormat/>
    <w:rsid w:val="00FA2B1A"/>
    <w:pPr>
      <w:pBdr>
        <w:top w:val="single" w:sz="4" w:space="10" w:color="auto"/>
        <w:left w:val="single" w:sz="4" w:space="10" w:color="auto"/>
        <w:bottom w:val="single" w:sz="4" w:space="10" w:color="auto"/>
        <w:right w:val="single" w:sz="4" w:space="10" w:color="auto"/>
      </w:pBdr>
      <w:spacing w:before="120"/>
      <w:ind w:left="284" w:right="284"/>
    </w:pPr>
    <w:rPr>
      <w:sz w:val="20"/>
    </w:rPr>
  </w:style>
  <w:style w:type="paragraph" w:customStyle="1" w:styleId="Corpstexte">
    <w:name w:val="Corps texte"/>
    <w:basedOn w:val="Normal"/>
    <w:semiHidden/>
    <w:rsid w:val="002811C7"/>
    <w:pPr>
      <w:numPr>
        <w:numId w:val="9"/>
      </w:numPr>
      <w:overflowPunct/>
      <w:autoSpaceDE/>
      <w:autoSpaceDN/>
      <w:adjustRightInd/>
      <w:spacing w:before="120" w:after="240"/>
      <w:jc w:val="left"/>
      <w:textAlignment w:val="auto"/>
    </w:pPr>
    <w:rPr>
      <w:sz w:val="24"/>
      <w:szCs w:val="24"/>
    </w:rPr>
  </w:style>
  <w:style w:type="paragraph" w:customStyle="1" w:styleId="Dclarationhonneur">
    <w:name w:val="Déclaration honneur"/>
    <w:basedOn w:val="Normal"/>
    <w:link w:val="DclarationhonneurCar"/>
    <w:autoRedefine/>
    <w:qFormat/>
    <w:rsid w:val="00850658"/>
    <w:pPr>
      <w:ind w:right="-1"/>
      <w:jc w:val="center"/>
      <w:textAlignment w:val="auto"/>
    </w:pPr>
    <w:rPr>
      <w:b/>
      <w:bCs/>
      <w:sz w:val="28"/>
      <w:szCs w:val="28"/>
    </w:rPr>
  </w:style>
  <w:style w:type="character" w:customStyle="1" w:styleId="DclarationhonneurCar">
    <w:name w:val="Déclaration honneur Car"/>
    <w:basedOn w:val="Policepardfaut"/>
    <w:link w:val="Dclarationhonneur"/>
    <w:rsid w:val="00850658"/>
    <w:rPr>
      <w:rFonts w:ascii="Times New Roman" w:eastAsia="Times New Roman" w:hAnsi="Times New Roman" w:cs="Times New Roman"/>
      <w:b/>
      <w:bCs/>
      <w:sz w:val="28"/>
      <w:szCs w:val="28"/>
      <w:lang w:eastAsia="fr-FR"/>
    </w:rPr>
  </w:style>
  <w:style w:type="paragraph" w:customStyle="1" w:styleId="ANNEXE">
    <w:name w:val="ANNEXE"/>
    <w:basedOn w:val="T5Tableaupuce1"/>
    <w:qFormat/>
    <w:rsid w:val="005256BA"/>
    <w:pPr>
      <w:numPr>
        <w:numId w:val="0"/>
      </w:numPr>
      <w:jc w:val="center"/>
      <w:outlineLvl w:val="4"/>
    </w:pPr>
    <w:rPr>
      <w:b/>
      <w:caps/>
      <w:sz w:val="28"/>
    </w:rPr>
  </w:style>
  <w:style w:type="paragraph" w:styleId="TM5">
    <w:name w:val="toc 5"/>
    <w:basedOn w:val="ANNEXE"/>
    <w:next w:val="Normal"/>
    <w:autoRedefine/>
    <w:uiPriority w:val="39"/>
    <w:unhideWhenUsed/>
    <w:rsid w:val="00F91097"/>
    <w:pPr>
      <w:jc w:val="left"/>
    </w:pPr>
    <w:rPr>
      <w:b w:val="0"/>
      <w:sz w:val="22"/>
    </w:rPr>
  </w:style>
  <w:style w:type="character" w:styleId="Lienhypertexte">
    <w:name w:val="Hyperlink"/>
    <w:basedOn w:val="Policepardfaut"/>
    <w:uiPriority w:val="99"/>
    <w:unhideWhenUsed/>
    <w:rsid w:val="00B06B2C"/>
    <w:rPr>
      <w:color w:val="0000FF" w:themeColor="hyperlink"/>
      <w:u w:val="single"/>
    </w:rPr>
  </w:style>
  <w:style w:type="paragraph" w:customStyle="1" w:styleId="DCEArticle">
    <w:name w:val="DCE Article"/>
    <w:basedOn w:val="Normal"/>
    <w:next w:val="DCETitre2"/>
    <w:qFormat/>
    <w:rsid w:val="00BD2DED"/>
    <w:pPr>
      <w:keepNext/>
      <w:keepLines/>
      <w:numPr>
        <w:numId w:val="11"/>
      </w:numPr>
      <w:overflowPunct/>
      <w:autoSpaceDE/>
      <w:autoSpaceDN/>
      <w:adjustRightInd/>
      <w:spacing w:before="360" w:after="240"/>
      <w:jc w:val="left"/>
      <w:textAlignment w:val="auto"/>
      <w:outlineLvl w:val="0"/>
    </w:pPr>
    <w:rPr>
      <w:b/>
      <w:caps/>
      <w:sz w:val="26"/>
      <w:szCs w:val="26"/>
      <w:u w:val="single"/>
    </w:rPr>
  </w:style>
  <w:style w:type="paragraph" w:customStyle="1" w:styleId="DCETitre2">
    <w:name w:val="DCE Titre 2"/>
    <w:basedOn w:val="Normal"/>
    <w:next w:val="DCETitre3Car"/>
    <w:qFormat/>
    <w:rsid w:val="00BD2DED"/>
    <w:pPr>
      <w:keepNext/>
      <w:keepLines/>
      <w:numPr>
        <w:ilvl w:val="1"/>
        <w:numId w:val="11"/>
      </w:numPr>
      <w:overflowPunct/>
      <w:autoSpaceDE/>
      <w:autoSpaceDN/>
      <w:adjustRightInd/>
      <w:spacing w:before="240" w:after="240"/>
      <w:jc w:val="left"/>
      <w:textAlignment w:val="auto"/>
      <w:outlineLvl w:val="1"/>
    </w:pPr>
    <w:rPr>
      <w:b/>
      <w:sz w:val="24"/>
      <w:szCs w:val="24"/>
    </w:rPr>
  </w:style>
  <w:style w:type="paragraph" w:customStyle="1" w:styleId="DCETitre3Car">
    <w:name w:val="DCE Titre 3 Car"/>
    <w:basedOn w:val="Normal"/>
    <w:next w:val="DCETitre4"/>
    <w:rsid w:val="00BD2DED"/>
    <w:pPr>
      <w:keepNext/>
      <w:keepLines/>
      <w:numPr>
        <w:ilvl w:val="2"/>
        <w:numId w:val="11"/>
      </w:numPr>
      <w:overflowPunct/>
      <w:autoSpaceDE/>
      <w:autoSpaceDN/>
      <w:adjustRightInd/>
      <w:spacing w:before="240"/>
      <w:jc w:val="left"/>
      <w:textAlignment w:val="auto"/>
      <w:outlineLvl w:val="2"/>
    </w:pPr>
    <w:rPr>
      <w:b/>
      <w:i/>
      <w:sz w:val="24"/>
      <w:szCs w:val="24"/>
    </w:rPr>
  </w:style>
  <w:style w:type="paragraph" w:customStyle="1" w:styleId="DCETitre4">
    <w:name w:val="DCE Titre 4"/>
    <w:basedOn w:val="DCETitre3Car"/>
    <w:qFormat/>
    <w:rsid w:val="00BD2DED"/>
    <w:pPr>
      <w:numPr>
        <w:ilvl w:val="3"/>
      </w:numPr>
      <w:outlineLvl w:val="3"/>
    </w:pPr>
    <w:rPr>
      <w:b w:val="0"/>
      <w:sz w:val="22"/>
    </w:rPr>
  </w:style>
  <w:style w:type="table" w:styleId="Grilledutableau">
    <w:name w:val="Table Grid"/>
    <w:basedOn w:val="TableauNormal"/>
    <w:rsid w:val="00BD2DED"/>
    <w:pPr>
      <w:widowControl w:val="0"/>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rsid w:val="001917F1"/>
    <w:pPr>
      <w:ind w:left="720"/>
      <w:contextualSpacing/>
    </w:pPr>
  </w:style>
  <w:style w:type="character" w:styleId="Marquedecommentaire">
    <w:name w:val="annotation reference"/>
    <w:basedOn w:val="Policepardfaut"/>
    <w:uiPriority w:val="99"/>
    <w:semiHidden/>
    <w:unhideWhenUsed/>
    <w:rsid w:val="008511A9"/>
    <w:rPr>
      <w:sz w:val="16"/>
      <w:szCs w:val="16"/>
    </w:rPr>
  </w:style>
  <w:style w:type="paragraph" w:styleId="Commentaire">
    <w:name w:val="annotation text"/>
    <w:basedOn w:val="Normal"/>
    <w:link w:val="CommentaireCar"/>
    <w:uiPriority w:val="99"/>
    <w:semiHidden/>
    <w:unhideWhenUsed/>
    <w:rsid w:val="008511A9"/>
    <w:rPr>
      <w:sz w:val="20"/>
    </w:rPr>
  </w:style>
  <w:style w:type="character" w:customStyle="1" w:styleId="CommentaireCar">
    <w:name w:val="Commentaire Car"/>
    <w:basedOn w:val="Policepardfaut"/>
    <w:link w:val="Commentaire"/>
    <w:uiPriority w:val="99"/>
    <w:semiHidden/>
    <w:rsid w:val="008511A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511A9"/>
    <w:rPr>
      <w:b/>
      <w:bCs/>
    </w:rPr>
  </w:style>
  <w:style w:type="character" w:customStyle="1" w:styleId="ObjetducommentaireCar">
    <w:name w:val="Objet du commentaire Car"/>
    <w:basedOn w:val="CommentaireCar"/>
    <w:link w:val="Objetducommentaire"/>
    <w:uiPriority w:val="99"/>
    <w:semiHidden/>
    <w:rsid w:val="008511A9"/>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773C3-D3E9-41FB-9921-50488B32E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4410</Words>
  <Characters>24255</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Jean-Pierre ROMAN</dc:creator>
  <cp:keywords/>
  <dc:description/>
  <cp:lastModifiedBy>Jean-Pierre ROMAN</cp:lastModifiedBy>
  <cp:revision>2</cp:revision>
  <cp:lastPrinted>2025-12-16T11:11:00Z</cp:lastPrinted>
  <dcterms:created xsi:type="dcterms:W3CDTF">2026-02-19T09:31:00Z</dcterms:created>
  <dcterms:modified xsi:type="dcterms:W3CDTF">2026-02-19T09:31:00Z</dcterms:modified>
</cp:coreProperties>
</file>